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F8E38" w14:textId="77777777" w:rsidR="00C8226E" w:rsidRPr="004601F1" w:rsidRDefault="00C8226E" w:rsidP="00E55601">
      <w:pPr>
        <w:jc w:val="right"/>
        <w:rPr>
          <w:rFonts w:ascii="Nunito Sans" w:hAnsi="Nunito Sans"/>
          <w:sz w:val="20"/>
          <w:szCs w:val="20"/>
          <w:lang w:val="en-AU"/>
        </w:rPr>
      </w:pPr>
    </w:p>
    <w:p w14:paraId="494FB4B6" w14:textId="77777777" w:rsidR="003A4839" w:rsidRPr="004601F1" w:rsidRDefault="003A4839" w:rsidP="00E55601">
      <w:pPr>
        <w:jc w:val="right"/>
        <w:rPr>
          <w:rFonts w:ascii="Nunito Sans" w:hAnsi="Nunito Sans"/>
          <w:sz w:val="20"/>
          <w:szCs w:val="20"/>
          <w:lang w:val="en-AU"/>
        </w:rPr>
      </w:pPr>
    </w:p>
    <w:p w14:paraId="11D49711" w14:textId="77777777" w:rsidR="003A4839" w:rsidRPr="004601F1" w:rsidRDefault="003A4839" w:rsidP="00E55601">
      <w:pPr>
        <w:jc w:val="right"/>
        <w:rPr>
          <w:rFonts w:ascii="Nunito Sans" w:hAnsi="Nunito Sans"/>
          <w:sz w:val="20"/>
          <w:szCs w:val="20"/>
          <w:lang w:val="en-AU"/>
        </w:rPr>
      </w:pPr>
    </w:p>
    <w:p w14:paraId="23B41EB3" w14:textId="77777777" w:rsidR="004601F1" w:rsidRDefault="004601F1" w:rsidP="00E55601">
      <w:pPr>
        <w:jc w:val="right"/>
        <w:rPr>
          <w:rFonts w:ascii="Nunito Sans" w:hAnsi="Nunito Sans"/>
          <w:sz w:val="20"/>
          <w:szCs w:val="20"/>
          <w:lang w:val="en-AU"/>
        </w:rPr>
      </w:pPr>
    </w:p>
    <w:p w14:paraId="68B2F47B" w14:textId="09689875" w:rsidR="00E55601" w:rsidRDefault="00E55601" w:rsidP="00680C52">
      <w:pPr>
        <w:tabs>
          <w:tab w:val="left" w:pos="1845"/>
        </w:tabs>
        <w:rPr>
          <w:rFonts w:ascii="Nunito Sans" w:hAnsi="Nunito Sans"/>
          <w:sz w:val="20"/>
          <w:szCs w:val="20"/>
          <w:lang w:val="en-AU"/>
        </w:rPr>
      </w:pPr>
    </w:p>
    <w:p w14:paraId="345A033A" w14:textId="77777777" w:rsidR="00E55601" w:rsidRDefault="00E55601" w:rsidP="00E55601">
      <w:pPr>
        <w:jc w:val="right"/>
        <w:rPr>
          <w:rFonts w:ascii="Nunito Sans" w:hAnsi="Nunito Sans"/>
          <w:sz w:val="20"/>
          <w:szCs w:val="20"/>
          <w:lang w:val="en-AU"/>
        </w:rPr>
      </w:pPr>
    </w:p>
    <w:p w14:paraId="7C3A9B2A" w14:textId="77777777" w:rsidR="00E55601" w:rsidRDefault="00E55601" w:rsidP="00E55601">
      <w:pPr>
        <w:jc w:val="right"/>
        <w:rPr>
          <w:rFonts w:ascii="Nunito Sans" w:hAnsi="Nunito Sans"/>
          <w:sz w:val="20"/>
          <w:szCs w:val="20"/>
          <w:lang w:val="en-AU"/>
        </w:rPr>
      </w:pPr>
    </w:p>
    <w:p w14:paraId="6F5F84F4" w14:textId="77777777" w:rsidR="00E55601" w:rsidRDefault="00E55601" w:rsidP="00E55601">
      <w:pPr>
        <w:jc w:val="right"/>
        <w:rPr>
          <w:rFonts w:ascii="Nunito Sans" w:hAnsi="Nunito Sans"/>
          <w:sz w:val="20"/>
          <w:szCs w:val="20"/>
          <w:lang w:val="en-AU"/>
        </w:rPr>
      </w:pPr>
    </w:p>
    <w:p w14:paraId="3E7C77A8" w14:textId="77777777" w:rsidR="00E55601" w:rsidRDefault="00E55601" w:rsidP="00E55601">
      <w:pPr>
        <w:jc w:val="right"/>
        <w:rPr>
          <w:rFonts w:ascii="Nunito Sans" w:hAnsi="Nunito Sans"/>
          <w:sz w:val="20"/>
          <w:szCs w:val="20"/>
          <w:lang w:val="en-AU"/>
        </w:rPr>
      </w:pPr>
    </w:p>
    <w:p w14:paraId="48073AFA" w14:textId="77777777" w:rsidR="00E55601" w:rsidRDefault="00E55601" w:rsidP="00E55601">
      <w:pPr>
        <w:jc w:val="right"/>
        <w:rPr>
          <w:rFonts w:ascii="Nunito Sans" w:hAnsi="Nunito Sans"/>
          <w:sz w:val="20"/>
          <w:szCs w:val="20"/>
          <w:lang w:val="en-AU"/>
        </w:rPr>
      </w:pPr>
    </w:p>
    <w:p w14:paraId="586E6595" w14:textId="77777777" w:rsidR="00E55601" w:rsidRDefault="00E55601" w:rsidP="00E55601">
      <w:pPr>
        <w:jc w:val="right"/>
        <w:rPr>
          <w:rFonts w:ascii="Nunito Sans" w:hAnsi="Nunito Sans"/>
          <w:sz w:val="20"/>
          <w:szCs w:val="20"/>
          <w:lang w:val="en-AU"/>
        </w:rPr>
      </w:pPr>
    </w:p>
    <w:p w14:paraId="1E3BDA06" w14:textId="77777777" w:rsidR="00E55601" w:rsidRDefault="00E55601" w:rsidP="00E55601">
      <w:pPr>
        <w:jc w:val="right"/>
        <w:rPr>
          <w:rFonts w:ascii="Nunito Sans" w:hAnsi="Nunito Sans"/>
          <w:sz w:val="20"/>
          <w:szCs w:val="20"/>
          <w:lang w:val="en-AU"/>
        </w:rPr>
      </w:pPr>
    </w:p>
    <w:p w14:paraId="7927EA4C" w14:textId="77777777" w:rsidR="00E55601" w:rsidRDefault="00E55601" w:rsidP="00E55601">
      <w:pPr>
        <w:jc w:val="right"/>
        <w:rPr>
          <w:rFonts w:ascii="Nunito Sans" w:hAnsi="Nunito Sans"/>
          <w:sz w:val="20"/>
          <w:szCs w:val="20"/>
          <w:lang w:val="en-AU"/>
        </w:rPr>
      </w:pPr>
    </w:p>
    <w:p w14:paraId="0B5468D0" w14:textId="77777777" w:rsidR="00E55601" w:rsidRDefault="00E55601" w:rsidP="00E55601">
      <w:pPr>
        <w:jc w:val="right"/>
        <w:rPr>
          <w:rFonts w:ascii="Nunito Sans" w:hAnsi="Nunito Sans"/>
          <w:sz w:val="20"/>
          <w:szCs w:val="20"/>
          <w:lang w:val="en-AU"/>
        </w:rPr>
      </w:pPr>
    </w:p>
    <w:p w14:paraId="4045A923" w14:textId="77777777" w:rsidR="00E55601" w:rsidRDefault="00E55601" w:rsidP="00E55601">
      <w:pPr>
        <w:jc w:val="right"/>
        <w:rPr>
          <w:rFonts w:ascii="Nunito Sans" w:hAnsi="Nunito Sans"/>
          <w:sz w:val="20"/>
          <w:szCs w:val="20"/>
          <w:lang w:val="en-AU"/>
        </w:rPr>
      </w:pPr>
    </w:p>
    <w:p w14:paraId="4B7678AF" w14:textId="77777777" w:rsidR="00E55601" w:rsidRDefault="00E55601" w:rsidP="00E55601">
      <w:pPr>
        <w:jc w:val="right"/>
        <w:rPr>
          <w:rFonts w:ascii="Nunito Sans" w:hAnsi="Nunito Sans"/>
          <w:sz w:val="20"/>
          <w:szCs w:val="20"/>
          <w:lang w:val="en-AU"/>
        </w:rPr>
      </w:pPr>
    </w:p>
    <w:p w14:paraId="1B00AAAB" w14:textId="77777777" w:rsidR="00E55601" w:rsidRDefault="00E55601" w:rsidP="00E55601">
      <w:pPr>
        <w:jc w:val="right"/>
        <w:rPr>
          <w:rFonts w:ascii="Nunito Sans" w:hAnsi="Nunito Sans"/>
          <w:sz w:val="20"/>
          <w:szCs w:val="20"/>
          <w:lang w:val="en-AU"/>
        </w:rPr>
      </w:pPr>
    </w:p>
    <w:p w14:paraId="03A0147A" w14:textId="77777777" w:rsidR="00E55601" w:rsidRDefault="00E55601" w:rsidP="00E55601">
      <w:pPr>
        <w:jc w:val="right"/>
        <w:rPr>
          <w:rFonts w:ascii="Nunito Sans" w:hAnsi="Nunito Sans"/>
          <w:sz w:val="20"/>
          <w:szCs w:val="20"/>
          <w:lang w:val="en-AU"/>
        </w:rPr>
      </w:pPr>
    </w:p>
    <w:p w14:paraId="2F3E4232" w14:textId="77777777" w:rsidR="00E55601" w:rsidRDefault="00E55601" w:rsidP="00E55601">
      <w:pPr>
        <w:jc w:val="right"/>
        <w:rPr>
          <w:rFonts w:ascii="Nunito Sans" w:hAnsi="Nunito Sans"/>
          <w:sz w:val="20"/>
          <w:szCs w:val="20"/>
          <w:lang w:val="en-AU"/>
        </w:rPr>
      </w:pPr>
    </w:p>
    <w:p w14:paraId="027E42A6" w14:textId="77777777" w:rsidR="0068503C" w:rsidRDefault="0068503C" w:rsidP="00E55601">
      <w:pPr>
        <w:jc w:val="right"/>
        <w:rPr>
          <w:rFonts w:ascii="Nunito Sans" w:hAnsi="Nunito Sans"/>
          <w:sz w:val="20"/>
          <w:szCs w:val="20"/>
          <w:lang w:val="en-AU"/>
        </w:rPr>
      </w:pPr>
    </w:p>
    <w:p w14:paraId="40CF7C8C" w14:textId="77777777" w:rsidR="0068503C" w:rsidRDefault="0068503C" w:rsidP="00E55601">
      <w:pPr>
        <w:jc w:val="right"/>
        <w:rPr>
          <w:rFonts w:ascii="Nunito Sans" w:hAnsi="Nunito Sans"/>
          <w:sz w:val="20"/>
          <w:szCs w:val="20"/>
          <w:lang w:val="en-AU"/>
        </w:rPr>
      </w:pPr>
    </w:p>
    <w:p w14:paraId="72E9E113" w14:textId="77777777" w:rsidR="00E55601" w:rsidRDefault="00E55601" w:rsidP="00E55601">
      <w:pPr>
        <w:jc w:val="right"/>
        <w:rPr>
          <w:rFonts w:ascii="Nunito Sans" w:hAnsi="Nunito Sans"/>
          <w:sz w:val="20"/>
          <w:szCs w:val="20"/>
          <w:lang w:val="en-AU"/>
        </w:rPr>
      </w:pPr>
    </w:p>
    <w:p w14:paraId="116C7B0F" w14:textId="39EEA17F" w:rsidR="00E55601" w:rsidRPr="00E35650" w:rsidRDefault="00E35650" w:rsidP="0068503C">
      <w:pPr>
        <w:rPr>
          <w:rFonts w:ascii="Poppins SemiBold" w:hAnsi="Poppins SemiBold" w:cs="Poppins SemiBold"/>
          <w:b/>
          <w:bCs/>
          <w:color w:val="FFFFFF" w:themeColor="background1"/>
          <w:sz w:val="44"/>
          <w:szCs w:val="44"/>
          <w:lang w:val="en-AU"/>
        </w:rPr>
      </w:pPr>
      <w:r w:rsidRPr="00E35650">
        <w:rPr>
          <w:rFonts w:ascii="Poppins SemiBold" w:hAnsi="Poppins SemiBold" w:cs="Poppins SemiBold"/>
          <w:b/>
          <w:bCs/>
          <w:color w:val="FFFFFF" w:themeColor="background1"/>
          <w:sz w:val="44"/>
          <w:szCs w:val="44"/>
          <w:lang w:val="en-AU"/>
        </w:rPr>
        <w:t>Improving the Residential Tenancies and Rooming Accommodation Regulation 2009</w:t>
      </w:r>
    </w:p>
    <w:p w14:paraId="09B9AA52" w14:textId="75AE15A7" w:rsidR="00E55601" w:rsidRPr="00E55601" w:rsidRDefault="00E35650" w:rsidP="0068503C">
      <w:pPr>
        <w:rPr>
          <w:rFonts w:ascii="Nunito Sans" w:hAnsi="Nunito Sans"/>
          <w:color w:val="FFFFFF" w:themeColor="background1"/>
          <w:sz w:val="36"/>
          <w:szCs w:val="36"/>
          <w:lang w:val="en-US"/>
        </w:rPr>
      </w:pPr>
      <w:r>
        <w:rPr>
          <w:rFonts w:ascii="Nunito Sans" w:hAnsi="Nunito Sans"/>
          <w:color w:val="FFFFFF" w:themeColor="background1"/>
          <w:sz w:val="36"/>
          <w:szCs w:val="36"/>
          <w:lang w:val="en-US"/>
        </w:rPr>
        <w:t>Position Paper</w:t>
      </w:r>
    </w:p>
    <w:p w14:paraId="32C7C449" w14:textId="77777777" w:rsidR="00E55601" w:rsidRDefault="00E55601" w:rsidP="0068503C">
      <w:pPr>
        <w:rPr>
          <w:rFonts w:ascii="Nunito Sans" w:hAnsi="Nunito Sans"/>
          <w:color w:val="FFFFFF" w:themeColor="background1"/>
          <w:sz w:val="30"/>
          <w:szCs w:val="30"/>
          <w:lang w:val="en-US"/>
        </w:rPr>
      </w:pPr>
    </w:p>
    <w:p w14:paraId="34C1FCB6" w14:textId="75C097F6" w:rsidR="00E55601" w:rsidRDefault="00E35650" w:rsidP="0068503C">
      <w:pPr>
        <w:rPr>
          <w:rFonts w:ascii="Nunito Sans" w:hAnsi="Nunito Sans"/>
          <w:color w:val="FFFFFF" w:themeColor="background1"/>
          <w:lang w:val="en-US"/>
        </w:rPr>
      </w:pPr>
      <w:r>
        <w:rPr>
          <w:rFonts w:ascii="Nunito Sans" w:hAnsi="Nunito Sans"/>
          <w:color w:val="FFFFFF" w:themeColor="background1"/>
          <w:lang w:val="en-US"/>
        </w:rPr>
        <w:t>June 2025</w:t>
      </w:r>
    </w:p>
    <w:p w14:paraId="1108A3F1" w14:textId="77777777" w:rsidR="002C77FC" w:rsidRDefault="002C77FC" w:rsidP="00E55601">
      <w:pPr>
        <w:jc w:val="right"/>
        <w:rPr>
          <w:rFonts w:ascii="Nunito Sans" w:hAnsi="Nunito Sans"/>
          <w:color w:val="FFFFFF" w:themeColor="background1"/>
          <w:lang w:val="en-US"/>
        </w:rPr>
      </w:pPr>
    </w:p>
    <w:p w14:paraId="13861584" w14:textId="77777777" w:rsidR="002C77FC" w:rsidRDefault="002C77FC" w:rsidP="00E55601">
      <w:pPr>
        <w:jc w:val="right"/>
        <w:rPr>
          <w:rFonts w:ascii="Nunito Sans" w:hAnsi="Nunito Sans"/>
          <w:color w:val="FFFFFF" w:themeColor="background1"/>
          <w:lang w:val="en-US"/>
        </w:rPr>
      </w:pPr>
    </w:p>
    <w:p w14:paraId="112DB476" w14:textId="6C8DF731" w:rsidR="002C77FC" w:rsidRPr="00680C52" w:rsidRDefault="00D77C94" w:rsidP="00680C52">
      <w:pPr>
        <w:pStyle w:val="QIDANSubheading"/>
      </w:pPr>
      <w:r>
        <w:lastRenderedPageBreak/>
        <w:t xml:space="preserve">Background </w:t>
      </w:r>
    </w:p>
    <w:p w14:paraId="78E34BD5" w14:textId="77777777" w:rsidR="0047734C" w:rsidRDefault="0047734C" w:rsidP="0047734C">
      <w:pPr>
        <w:pStyle w:val="QIDANParagraph"/>
        <w:spacing w:after="120"/>
      </w:pPr>
      <w:r w:rsidRPr="00283A64">
        <w:t xml:space="preserve">Coordinated by Queensland Advocacy for Inclusion (QAI), QIDAN is a group of organisations funded under the Queensland Disability Advocacy Program (QDAP) to provide individual advocacy assistance to Queenslanders living with disability. The members of QIDAN offer various independent disability advocacy assistance across Queensland, bringing substantial frontline experiences supporting people with disability navigating housing challenges across Queensland. </w:t>
      </w:r>
    </w:p>
    <w:p w14:paraId="42E132F9" w14:textId="3B86E77E" w:rsidR="0047734C" w:rsidRPr="00283A64" w:rsidRDefault="0047734C" w:rsidP="0047734C">
      <w:pPr>
        <w:pStyle w:val="QIDANParagraph"/>
        <w:spacing w:after="120"/>
      </w:pPr>
      <w:r w:rsidRPr="00283A64">
        <w:t xml:space="preserve">In 2024 alone, QIDAN assisted 1,619 people with disability through 3,190 issues, delivering over 27,164 hours of dedicated </w:t>
      </w:r>
      <w:r w:rsidR="006D4F98">
        <w:t xml:space="preserve">advocacy </w:t>
      </w:r>
      <w:r w:rsidRPr="00283A64">
        <w:t>support. Housing related issues were a significant area of concern for the people we supported. In 2024, 185 people were assisted with 309 housing issues, over 2,516 hours of advocacy, representing 11% of all advocacy assistance. Of these people:</w:t>
      </w:r>
    </w:p>
    <w:p w14:paraId="546D5964" w14:textId="77777777" w:rsidR="0047734C" w:rsidRPr="00283A64" w:rsidRDefault="0047734C" w:rsidP="0047734C">
      <w:pPr>
        <w:pStyle w:val="QIDANParagraph"/>
        <w:numPr>
          <w:ilvl w:val="0"/>
          <w:numId w:val="1"/>
        </w:numPr>
        <w:spacing w:after="120"/>
      </w:pPr>
      <w:r w:rsidRPr="00283A64">
        <w:t>20% were at risk of or experiencing homelessness.</w:t>
      </w:r>
    </w:p>
    <w:p w14:paraId="020B307E" w14:textId="77777777" w:rsidR="0047734C" w:rsidRPr="00283A64" w:rsidRDefault="0047734C" w:rsidP="0047734C">
      <w:pPr>
        <w:pStyle w:val="QIDANParagraph"/>
        <w:numPr>
          <w:ilvl w:val="0"/>
          <w:numId w:val="1"/>
        </w:numPr>
        <w:spacing w:after="120"/>
      </w:pPr>
      <w:r w:rsidRPr="00283A64">
        <w:t xml:space="preserve">Over 1 in five were affected by domestic and family violence (DFV). </w:t>
      </w:r>
    </w:p>
    <w:p w14:paraId="024FF91D" w14:textId="0B3B0BC3" w:rsidR="0047734C" w:rsidRPr="00283A64" w:rsidRDefault="0047734C" w:rsidP="0047734C">
      <w:pPr>
        <w:pStyle w:val="QIDANParagraph"/>
        <w:numPr>
          <w:ilvl w:val="0"/>
          <w:numId w:val="1"/>
        </w:numPr>
        <w:spacing w:after="120"/>
      </w:pPr>
      <w:r w:rsidRPr="00283A64">
        <w:t>The cohort included 61.5% women, 35% people with psychosocial disability, 35.9% non-NDIS participants, 12.6% of people identified as Aboriginal &amp; Torres Strait Islander,</w:t>
      </w:r>
      <w:r>
        <w:t xml:space="preserve"> and</w:t>
      </w:r>
      <w:r w:rsidRPr="00283A64">
        <w:t xml:space="preserve"> 34.6% from culturally and linguistically diverse backgrounds. </w:t>
      </w:r>
    </w:p>
    <w:p w14:paraId="51148EE0" w14:textId="7E7A8BD0" w:rsidR="0047734C" w:rsidRPr="00283A64" w:rsidRDefault="0047734C" w:rsidP="0047734C">
      <w:pPr>
        <w:pStyle w:val="QIDANParagraph"/>
        <w:spacing w:after="120"/>
      </w:pPr>
      <w:r w:rsidRPr="00283A64">
        <w:t xml:space="preserve">Our data </w:t>
      </w:r>
      <w:r>
        <w:t xml:space="preserve">also </w:t>
      </w:r>
      <w:r w:rsidRPr="00283A64">
        <w:t xml:space="preserve">highlights substantial unmet need for housing advocacy. In 2024, 209 people could not be assisted due to </w:t>
      </w:r>
      <w:r w:rsidR="006D4F98">
        <w:t xml:space="preserve">sector </w:t>
      </w:r>
      <w:r w:rsidRPr="00283A64">
        <w:t>capacity limits</w:t>
      </w:r>
      <w:r>
        <w:t xml:space="preserve">, </w:t>
      </w:r>
      <w:r w:rsidRPr="00283A64">
        <w:t xml:space="preserve">13% </w:t>
      </w:r>
      <w:r w:rsidR="006D4F98">
        <w:t xml:space="preserve">of these people </w:t>
      </w:r>
      <w:r w:rsidRPr="00283A64">
        <w:t>were at risk of</w:t>
      </w:r>
      <w:r w:rsidR="006D4F98">
        <w:t>/</w:t>
      </w:r>
      <w:r w:rsidRPr="00283A64">
        <w:t xml:space="preserve"> experiencing homelessness.</w:t>
      </w:r>
    </w:p>
    <w:p w14:paraId="1CBA00D6" w14:textId="72F62615" w:rsidR="0047734C" w:rsidRPr="00283A64" w:rsidRDefault="0047734C" w:rsidP="0047734C">
      <w:pPr>
        <w:pStyle w:val="QIDANParagraph"/>
        <w:spacing w:after="120"/>
      </w:pPr>
      <w:r w:rsidRPr="00283A64">
        <w:t>In addition, through QAI’s coordination of Disability Advocacy Pathways</w:t>
      </w:r>
      <w:r>
        <w:rPr>
          <w:rStyle w:val="FootnoteReference"/>
        </w:rPr>
        <w:footnoteReference w:id="2"/>
      </w:r>
      <w:r w:rsidRPr="00283A64">
        <w:t xml:space="preserve"> information and referral service, we responded to</w:t>
      </w:r>
      <w:r w:rsidR="006D4F98">
        <w:t xml:space="preserve"> </w:t>
      </w:r>
      <w:r w:rsidR="001D0F70">
        <w:t>an</w:t>
      </w:r>
      <w:r w:rsidR="006D4F98">
        <w:t xml:space="preserve"> additional</w:t>
      </w:r>
      <w:r w:rsidRPr="00283A64">
        <w:t xml:space="preserve"> 82 housing related enquires, comprising 14% of all Pathways referrals. Of these: </w:t>
      </w:r>
    </w:p>
    <w:p w14:paraId="26BEDF4B" w14:textId="77777777" w:rsidR="0047734C" w:rsidRPr="00283A64" w:rsidRDefault="0047734C" w:rsidP="0047734C">
      <w:pPr>
        <w:pStyle w:val="QIDANParagraph"/>
        <w:numPr>
          <w:ilvl w:val="0"/>
          <w:numId w:val="2"/>
        </w:numPr>
        <w:spacing w:after="120"/>
      </w:pPr>
      <w:r w:rsidRPr="00283A64">
        <w:t xml:space="preserve">67% disclosed financial disadvantage </w:t>
      </w:r>
    </w:p>
    <w:p w14:paraId="03891A04" w14:textId="77777777" w:rsidR="0047734C" w:rsidRPr="00283A64" w:rsidRDefault="0047734C" w:rsidP="0047734C">
      <w:pPr>
        <w:pStyle w:val="QIDANParagraph"/>
        <w:numPr>
          <w:ilvl w:val="0"/>
          <w:numId w:val="2"/>
        </w:numPr>
        <w:spacing w:after="120"/>
      </w:pPr>
      <w:r w:rsidRPr="00283A64">
        <w:lastRenderedPageBreak/>
        <w:t>55% at risk of or experiencing homelessness</w:t>
      </w:r>
    </w:p>
    <w:p w14:paraId="3DB7AFCB" w14:textId="77777777" w:rsidR="0047734C" w:rsidRPr="00283A64" w:rsidRDefault="0047734C" w:rsidP="0047734C">
      <w:pPr>
        <w:pStyle w:val="QIDANParagraph"/>
        <w:numPr>
          <w:ilvl w:val="0"/>
          <w:numId w:val="2"/>
        </w:numPr>
        <w:spacing w:after="120"/>
      </w:pPr>
      <w:r w:rsidRPr="00283A64">
        <w:t>29.3% experiencing DFV</w:t>
      </w:r>
    </w:p>
    <w:p w14:paraId="4ADFDC42" w14:textId="77777777" w:rsidR="0047734C" w:rsidRPr="00283A64" w:rsidRDefault="0047734C" w:rsidP="0047734C">
      <w:pPr>
        <w:pStyle w:val="QIDANParagraph"/>
        <w:numPr>
          <w:ilvl w:val="0"/>
          <w:numId w:val="2"/>
        </w:numPr>
        <w:spacing w:after="120"/>
      </w:pPr>
      <w:r w:rsidRPr="00283A64">
        <w:t>67.1% were female</w:t>
      </w:r>
    </w:p>
    <w:p w14:paraId="09119DD5" w14:textId="77777777" w:rsidR="0047734C" w:rsidRDefault="0047734C" w:rsidP="0047734C">
      <w:pPr>
        <w:pStyle w:val="QIDANParagraph"/>
        <w:spacing w:after="120"/>
      </w:pPr>
      <w:r w:rsidRPr="00283A64">
        <w:t xml:space="preserve">These figures highlight the scale and urgency of housing challenges faced by </w:t>
      </w:r>
      <w:r>
        <w:t xml:space="preserve">people </w:t>
      </w:r>
      <w:r w:rsidRPr="00283A64">
        <w:t xml:space="preserve">with disability. </w:t>
      </w:r>
      <w:r>
        <w:t xml:space="preserve">Many of these issues are directly related to the effectiveness and efficiency of the current the Residential Tenancies and Rooming Accommodation Regulation 2009 (‘the Regulation’). The Regulation prescribes specific details about how obligations under the </w:t>
      </w:r>
      <w:hyperlink r:id="rId10" w:tgtFrame="_blank" w:history="1">
        <w:r w:rsidRPr="00A33630">
          <w:rPr>
            <w:rStyle w:val="Hyperlink"/>
            <w:i/>
            <w:iCs/>
            <w:lang w:val="en-GB"/>
          </w:rPr>
          <w:t>Residential Tenancies and Rooming Accommodation Act 2008</w:t>
        </w:r>
      </w:hyperlink>
      <w:r>
        <w:t xml:space="preserve"> will be delivered, including:</w:t>
      </w:r>
    </w:p>
    <w:p w14:paraId="03E09D4B" w14:textId="77777777" w:rsidR="0047734C" w:rsidRPr="007907FB" w:rsidRDefault="0047734C" w:rsidP="0047734C">
      <w:pPr>
        <w:pStyle w:val="QIDANParagraph"/>
        <w:numPr>
          <w:ilvl w:val="0"/>
          <w:numId w:val="3"/>
        </w:numPr>
        <w:spacing w:after="120"/>
      </w:pPr>
      <w:r w:rsidRPr="007907FB">
        <w:t>standard terms for general tenancies, moveable dwellings, state owned properties, community housing and rooming accommodation agreements </w:t>
      </w:r>
    </w:p>
    <w:p w14:paraId="5AFF0077" w14:textId="77777777" w:rsidR="0047734C" w:rsidRPr="007907FB" w:rsidRDefault="0047734C" w:rsidP="0047734C">
      <w:pPr>
        <w:pStyle w:val="QIDANParagraph"/>
        <w:numPr>
          <w:ilvl w:val="0"/>
          <w:numId w:val="4"/>
        </w:numPr>
        <w:spacing w:after="120"/>
      </w:pPr>
      <w:r w:rsidRPr="007907FB">
        <w:t>approved reasons for listing renters on a tenancy database  </w:t>
      </w:r>
    </w:p>
    <w:p w14:paraId="03C1B43E" w14:textId="77777777" w:rsidR="0047734C" w:rsidRPr="007907FB" w:rsidRDefault="0047734C" w:rsidP="0047734C">
      <w:pPr>
        <w:pStyle w:val="QIDANParagraph"/>
        <w:numPr>
          <w:ilvl w:val="0"/>
          <w:numId w:val="5"/>
        </w:numPr>
        <w:spacing w:after="120"/>
      </w:pPr>
      <w:r w:rsidRPr="007907FB">
        <w:t>minimum housing standards </w:t>
      </w:r>
    </w:p>
    <w:p w14:paraId="392C6E4A" w14:textId="77777777" w:rsidR="0047734C" w:rsidRPr="007907FB" w:rsidRDefault="0047734C" w:rsidP="0047734C">
      <w:pPr>
        <w:pStyle w:val="QIDANParagraph"/>
        <w:numPr>
          <w:ilvl w:val="0"/>
          <w:numId w:val="6"/>
        </w:numPr>
        <w:spacing w:after="120"/>
      </w:pPr>
      <w:r w:rsidRPr="007907FB">
        <w:t>house rules in rooming accommodation  </w:t>
      </w:r>
    </w:p>
    <w:p w14:paraId="788FD676" w14:textId="77777777" w:rsidR="0047734C" w:rsidRPr="007907FB" w:rsidRDefault="0047734C" w:rsidP="0047734C">
      <w:pPr>
        <w:pStyle w:val="QIDANParagraph"/>
        <w:numPr>
          <w:ilvl w:val="0"/>
          <w:numId w:val="7"/>
        </w:numPr>
        <w:spacing w:after="120"/>
      </w:pPr>
      <w:r w:rsidRPr="007907FB">
        <w:t>the period before a notice to leave can be issued for repeated breaches. </w:t>
      </w:r>
    </w:p>
    <w:p w14:paraId="1D2AD4E9" w14:textId="0FFDFB62" w:rsidR="002C77FC" w:rsidRDefault="0047734C" w:rsidP="0047734C">
      <w:pPr>
        <w:pStyle w:val="QIDANParagraph"/>
        <w:spacing w:after="240"/>
      </w:pPr>
      <w:r>
        <w:t xml:space="preserve">This </w:t>
      </w:r>
      <w:r w:rsidR="000A4151">
        <w:t>paper</w:t>
      </w:r>
      <w:r w:rsidRPr="00283A64">
        <w:t xml:space="preserve"> draws upon QIDAN’s depth of insight to </w:t>
      </w:r>
      <w:r>
        <w:t>suggest</w:t>
      </w:r>
      <w:r w:rsidRPr="00283A64">
        <w:t xml:space="preserve"> reforms that strengthen housing stability, accessibility, and security for people with disability.</w:t>
      </w:r>
      <w:r>
        <w:t xml:space="preserve"> This is an opportune moment to share QIDAN’s views as the Queensland Government considers redesigning the residential services regulatory framework in mid-2025.</w:t>
      </w:r>
      <w:r>
        <w:rPr>
          <w:rStyle w:val="FootnoteReference"/>
        </w:rPr>
        <w:footnoteReference w:id="3"/>
      </w:r>
      <w:r>
        <w:t xml:space="preserve"> </w:t>
      </w:r>
    </w:p>
    <w:p w14:paraId="29422D83" w14:textId="77777777" w:rsidR="001D0F70" w:rsidRDefault="001D0F70" w:rsidP="0047734C">
      <w:pPr>
        <w:pStyle w:val="QIDANParagraph"/>
        <w:spacing w:after="240"/>
      </w:pPr>
    </w:p>
    <w:p w14:paraId="18BC8FC5" w14:textId="77777777" w:rsidR="001D0F70" w:rsidRDefault="001D0F70" w:rsidP="0047734C">
      <w:pPr>
        <w:pStyle w:val="QIDANParagraph"/>
        <w:spacing w:after="240"/>
      </w:pPr>
    </w:p>
    <w:p w14:paraId="10973261" w14:textId="77777777" w:rsidR="001D0F70" w:rsidRDefault="001D0F70" w:rsidP="0047734C">
      <w:pPr>
        <w:pStyle w:val="QIDANParagraph"/>
        <w:spacing w:after="240"/>
      </w:pPr>
    </w:p>
    <w:p w14:paraId="7316D1D7" w14:textId="77777777" w:rsidR="001D0F70" w:rsidRDefault="001D0F70" w:rsidP="0047734C">
      <w:pPr>
        <w:pStyle w:val="QIDANParagraph"/>
        <w:spacing w:after="240"/>
      </w:pPr>
    </w:p>
    <w:p w14:paraId="5604D731" w14:textId="09EA5812" w:rsidR="000A4151" w:rsidRDefault="000A4151" w:rsidP="000A4151">
      <w:pPr>
        <w:pStyle w:val="QIDANSubheading"/>
      </w:pPr>
      <w:r>
        <w:t>Hope’s story</w:t>
      </w:r>
    </w:p>
    <w:p w14:paraId="0D8C740F" w14:textId="4BCE8201" w:rsidR="000A4151" w:rsidRDefault="000A4151" w:rsidP="000A4151">
      <w:pPr>
        <w:pStyle w:val="QIDANParagraph"/>
        <w:spacing w:after="120"/>
        <w:rPr>
          <w:lang w:val="en-GB"/>
        </w:rPr>
      </w:pPr>
      <w:r w:rsidRPr="004E65A4">
        <w:rPr>
          <w:lang w:val="en-GB"/>
        </w:rPr>
        <w:t>Hope</w:t>
      </w:r>
      <w:r>
        <w:rPr>
          <w:lang w:val="en-GB"/>
        </w:rPr>
        <w:t>*</w:t>
      </w:r>
      <w:r w:rsidRPr="004E65A4">
        <w:rPr>
          <w:lang w:val="en-GB"/>
        </w:rPr>
        <w:t xml:space="preserve"> is a woman in her early 60s who lives with neurological and psychosocial impairments, including suicidal ideation and gastroenterological health impacts. She has been living in a retirement village for the past year on a fixed term lease (Rooming Accommodation) after previously </w:t>
      </w:r>
      <w:r w:rsidR="004102DB">
        <w:rPr>
          <w:lang w:val="en-GB"/>
        </w:rPr>
        <w:t xml:space="preserve">experiencing </w:t>
      </w:r>
      <w:r w:rsidRPr="004E65A4">
        <w:rPr>
          <w:lang w:val="en-GB"/>
        </w:rPr>
        <w:t xml:space="preserve">homeless. Throughout her lease, she has experienced consistent problems with the site manager who has not fixed issues in a timely manner. A month or so ago he refused to arrange a plumber on a Saturday when the sewerage stopped working. The toilets were full to the brim, not one sink was draining. This situation was particularly distressing for Hope as she uses a urostomy bag and must clean it thoroughly every day. Hope complained to the site manager about their delay in responding to this situation. A few weeks later, without receiving any prior verbal notice first, she received a Notice to Leave (Form R12) sent to her by email advising that her fixed term lease would not be extended. She was given two months to find new accommodation. She has been on the Department of Housing waitlist for three years and is terrified she will not be able to find a private rental that is affordable and accessible for her disability. Hope’s suicidal ideation has increased significantly, and she is now at serious risk of homelessness. </w:t>
      </w:r>
    </w:p>
    <w:p w14:paraId="4017719A" w14:textId="604D15F3" w:rsidR="0047734C" w:rsidRDefault="000A4151" w:rsidP="000A4151">
      <w:pPr>
        <w:pStyle w:val="QIDANParagraph"/>
        <w:spacing w:after="240"/>
        <w:rPr>
          <w:i/>
          <w:iCs/>
          <w:sz w:val="22"/>
          <w:szCs w:val="22"/>
          <w:lang w:val="en-GB"/>
        </w:rPr>
      </w:pPr>
      <w:r w:rsidRPr="006E0CC8">
        <w:rPr>
          <w:i/>
          <w:iCs/>
          <w:sz w:val="22"/>
          <w:szCs w:val="22"/>
          <w:lang w:val="en-GB"/>
        </w:rPr>
        <w:t>*Name was changed to protect client’s confidentiality</w:t>
      </w:r>
    </w:p>
    <w:p w14:paraId="53696C54" w14:textId="77777777" w:rsidR="001D0F70" w:rsidRDefault="001D0F70" w:rsidP="000A4151">
      <w:pPr>
        <w:pStyle w:val="QIDANParagraph"/>
        <w:spacing w:after="240"/>
        <w:rPr>
          <w:i/>
          <w:iCs/>
          <w:sz w:val="22"/>
          <w:szCs w:val="22"/>
          <w:lang w:val="en-GB"/>
        </w:rPr>
      </w:pPr>
    </w:p>
    <w:p w14:paraId="1FA25A6F" w14:textId="77777777" w:rsidR="001D0F70" w:rsidRDefault="001D0F70" w:rsidP="000A4151">
      <w:pPr>
        <w:pStyle w:val="QIDANParagraph"/>
        <w:spacing w:after="240"/>
        <w:rPr>
          <w:i/>
          <w:iCs/>
          <w:sz w:val="22"/>
          <w:szCs w:val="22"/>
          <w:lang w:val="en-GB"/>
        </w:rPr>
      </w:pPr>
    </w:p>
    <w:p w14:paraId="289E322C" w14:textId="77777777" w:rsidR="001D0F70" w:rsidRDefault="001D0F70" w:rsidP="000A4151">
      <w:pPr>
        <w:pStyle w:val="QIDANParagraph"/>
        <w:spacing w:after="240"/>
        <w:rPr>
          <w:i/>
          <w:iCs/>
          <w:sz w:val="22"/>
          <w:szCs w:val="22"/>
          <w:lang w:val="en-GB"/>
        </w:rPr>
      </w:pPr>
    </w:p>
    <w:p w14:paraId="4E5BBF44" w14:textId="77777777" w:rsidR="001D0F70" w:rsidRDefault="001D0F70" w:rsidP="000A4151">
      <w:pPr>
        <w:pStyle w:val="QIDANParagraph"/>
        <w:spacing w:after="240"/>
        <w:rPr>
          <w:i/>
          <w:iCs/>
          <w:sz w:val="22"/>
          <w:szCs w:val="22"/>
          <w:lang w:val="en-GB"/>
        </w:rPr>
      </w:pPr>
    </w:p>
    <w:p w14:paraId="2407BCA4" w14:textId="77777777" w:rsidR="001D0F70" w:rsidRDefault="001D0F70" w:rsidP="000A4151">
      <w:pPr>
        <w:pStyle w:val="QIDANParagraph"/>
        <w:spacing w:after="240"/>
        <w:rPr>
          <w:i/>
          <w:iCs/>
          <w:sz w:val="22"/>
          <w:szCs w:val="22"/>
          <w:lang w:val="en-GB"/>
        </w:rPr>
      </w:pPr>
    </w:p>
    <w:p w14:paraId="45C59D74" w14:textId="77777777" w:rsidR="001D0F70" w:rsidRPr="0047734C" w:rsidRDefault="001D0F70" w:rsidP="000A4151">
      <w:pPr>
        <w:pStyle w:val="QIDANParagraph"/>
        <w:spacing w:after="240"/>
      </w:pPr>
    </w:p>
    <w:p w14:paraId="476D824B" w14:textId="4E861306" w:rsidR="009B72A1" w:rsidRPr="00131733" w:rsidRDefault="009B72A1" w:rsidP="009B72A1">
      <w:pPr>
        <w:pStyle w:val="QIDANParagraph"/>
        <w:spacing w:after="120"/>
      </w:pPr>
      <w:r>
        <w:rPr>
          <w:rStyle w:val="QIDANSubheadingChar"/>
          <w:szCs w:val="24"/>
        </w:rPr>
        <w:lastRenderedPageBreak/>
        <w:t>QIDAN’s suggest</w:t>
      </w:r>
      <w:r w:rsidR="00B14DD7">
        <w:rPr>
          <w:rStyle w:val="QIDANSubheadingChar"/>
          <w:szCs w:val="24"/>
        </w:rPr>
        <w:t xml:space="preserve">ions to improve </w:t>
      </w:r>
      <w:r>
        <w:rPr>
          <w:rStyle w:val="QIDANSubheadingChar"/>
          <w:szCs w:val="24"/>
        </w:rPr>
        <w:t>the current Regulation</w:t>
      </w:r>
    </w:p>
    <w:p w14:paraId="4F2C538F" w14:textId="77777777" w:rsidR="009B72A1" w:rsidRPr="00283A64" w:rsidRDefault="009B72A1" w:rsidP="009B72A1">
      <w:pPr>
        <w:pStyle w:val="QIDANParagraph"/>
        <w:numPr>
          <w:ilvl w:val="0"/>
          <w:numId w:val="8"/>
        </w:numPr>
        <w:spacing w:after="120"/>
        <w:ind w:left="567" w:hanging="283"/>
      </w:pPr>
      <w:r w:rsidRPr="00283A64">
        <w:t xml:space="preserve">Ensure RTA forms and standard terms of agreement are accessible to people with disability, in various formats such as </w:t>
      </w:r>
      <w:r>
        <w:t>W</w:t>
      </w:r>
      <w:r w:rsidRPr="00283A64">
        <w:t>ord</w:t>
      </w:r>
      <w:r>
        <w:t xml:space="preserve"> and PDF formats</w:t>
      </w:r>
      <w:r w:rsidRPr="00283A64">
        <w:t xml:space="preserve"> for screen readers and Easy Read. </w:t>
      </w:r>
    </w:p>
    <w:p w14:paraId="728E6665" w14:textId="77777777" w:rsidR="009B72A1" w:rsidRPr="00283A64" w:rsidRDefault="009B72A1" w:rsidP="009B72A1">
      <w:pPr>
        <w:pStyle w:val="QIDANParagraph"/>
        <w:numPr>
          <w:ilvl w:val="0"/>
          <w:numId w:val="8"/>
        </w:numPr>
        <w:spacing w:after="120"/>
        <w:ind w:left="567" w:hanging="283"/>
      </w:pPr>
      <w:r w:rsidRPr="00283A64">
        <w:t>Remove the provision that allows lessors or tenants to change locks based on “reasonable excuse” (s 29(1)(b) of Part 2, Schedule 1, of the Regulation).</w:t>
      </w:r>
    </w:p>
    <w:p w14:paraId="5BFB1B8A" w14:textId="77777777" w:rsidR="009B72A1" w:rsidRPr="00283A64" w:rsidRDefault="009B72A1" w:rsidP="009B72A1">
      <w:pPr>
        <w:pStyle w:val="QIDANParagraph"/>
        <w:numPr>
          <w:ilvl w:val="0"/>
          <w:numId w:val="8"/>
        </w:numPr>
        <w:spacing w:after="120"/>
        <w:ind w:left="567" w:hanging="283"/>
      </w:pPr>
      <w:r w:rsidRPr="00283A64">
        <w:t xml:space="preserve">The “animals” house rules should use the term “assistance animal”, instead of “working dog”, as per definition in section 9(2) of the </w:t>
      </w:r>
      <w:r w:rsidRPr="00283A64">
        <w:rPr>
          <w:i/>
          <w:iCs/>
        </w:rPr>
        <w:t xml:space="preserve">Disability Discrimination Act 1991 </w:t>
      </w:r>
      <w:r w:rsidRPr="00283A64">
        <w:t>(Qld). This definition should be replaced throughout the Regulation.</w:t>
      </w:r>
    </w:p>
    <w:p w14:paraId="4B5C57DF" w14:textId="77777777" w:rsidR="009B72A1" w:rsidRPr="00283A64" w:rsidRDefault="009B72A1" w:rsidP="009B72A1">
      <w:pPr>
        <w:pStyle w:val="QIDANParagraph"/>
        <w:numPr>
          <w:ilvl w:val="0"/>
          <w:numId w:val="8"/>
        </w:numPr>
        <w:spacing w:after="120"/>
        <w:ind w:left="567" w:hanging="283"/>
      </w:pPr>
      <w:r w:rsidRPr="00283A64">
        <w:t>The prohibitions in the prescribed house rules about “door locks and keys” should be extended to providers in observation of residents’ and tenants’ right to privacy.</w:t>
      </w:r>
    </w:p>
    <w:p w14:paraId="30A3DE94" w14:textId="77777777" w:rsidR="009B72A1" w:rsidRPr="00283A64" w:rsidRDefault="009B72A1" w:rsidP="009B72A1">
      <w:pPr>
        <w:pStyle w:val="QIDANParagraph"/>
        <w:numPr>
          <w:ilvl w:val="0"/>
          <w:numId w:val="8"/>
        </w:numPr>
        <w:spacing w:after="120"/>
        <w:ind w:left="567" w:hanging="283"/>
      </w:pPr>
      <w:r w:rsidRPr="00283A64">
        <w:t>The prescribed house rule about “residents’ and guests’ behaviour” should be updated to reflect occasions where unintended behaviour of residents may occur, and any disability should be taken into consideration on such occasions.</w:t>
      </w:r>
    </w:p>
    <w:p w14:paraId="199EA212" w14:textId="4F09F880" w:rsidR="009B72A1" w:rsidRPr="00614185" w:rsidRDefault="009B72A1" w:rsidP="009B72A1">
      <w:pPr>
        <w:pStyle w:val="QIDANParagraph"/>
        <w:numPr>
          <w:ilvl w:val="0"/>
          <w:numId w:val="8"/>
        </w:numPr>
        <w:spacing w:after="120"/>
        <w:ind w:left="567" w:hanging="283"/>
      </w:pPr>
      <w:r w:rsidRPr="00614185">
        <w:t xml:space="preserve">The prescribed period for repeated breaches should be </w:t>
      </w:r>
      <w:r w:rsidR="00934E1B" w:rsidRPr="00614185">
        <w:t xml:space="preserve">removed or </w:t>
      </w:r>
      <w:r w:rsidRPr="00614185">
        <w:t>reduced to 6 (six) months.</w:t>
      </w:r>
    </w:p>
    <w:p w14:paraId="75BC38E5" w14:textId="77777777" w:rsidR="009B72A1" w:rsidRPr="00283A64" w:rsidRDefault="009B72A1" w:rsidP="009B72A1">
      <w:pPr>
        <w:pStyle w:val="QIDANParagraph"/>
        <w:numPr>
          <w:ilvl w:val="0"/>
          <w:numId w:val="8"/>
        </w:numPr>
        <w:spacing w:after="120"/>
        <w:ind w:left="567" w:hanging="283"/>
      </w:pPr>
      <w:r w:rsidRPr="00283A64">
        <w:t>Observing recommendation 7.37 (a) of the DRC Report, the disability or the nature of a disability of a tenant or resident should be taken into consideration when “objectionable behaviour” and “repeated breaches” are identified as approved reasons for listing on a tenancy database.</w:t>
      </w:r>
    </w:p>
    <w:p w14:paraId="50DF9769" w14:textId="77777777" w:rsidR="009B72A1" w:rsidRPr="00283A64" w:rsidRDefault="009B72A1" w:rsidP="009B72A1">
      <w:pPr>
        <w:pStyle w:val="QIDANParagraph"/>
        <w:numPr>
          <w:ilvl w:val="0"/>
          <w:numId w:val="8"/>
        </w:numPr>
        <w:spacing w:after="120"/>
        <w:ind w:left="567" w:hanging="283"/>
      </w:pPr>
      <w:r w:rsidRPr="00283A64">
        <w:t>Observing recommendation 7.35 of the DRC Report, the Queensland Development Code 4.5 should be referenced in the Regulation to reflect the Livable Housing Design Standards as the current prescribed minimum building standards.</w:t>
      </w:r>
      <w:r>
        <w:t xml:space="preserve"> Ensure “</w:t>
      </w:r>
      <w:r w:rsidRPr="00283A64">
        <w:t xml:space="preserve">soundproof” </w:t>
      </w:r>
      <w:r>
        <w:t>is</w:t>
      </w:r>
      <w:r w:rsidRPr="00283A64">
        <w:t xml:space="preserve"> included as a prescribed minimum housing standard</w:t>
      </w:r>
      <w:r>
        <w:t>.</w:t>
      </w:r>
    </w:p>
    <w:p w14:paraId="2CC0787A" w14:textId="77777777" w:rsidR="009B72A1" w:rsidRDefault="009B72A1" w:rsidP="009B72A1">
      <w:pPr>
        <w:pStyle w:val="QIDANParagraph"/>
        <w:spacing w:after="240"/>
      </w:pPr>
      <w:r>
        <w:t xml:space="preserve">Our views and suggestions are based on our experience assisting people to navigate housing systems and to secure long-term housing that is safe, accessible and affordable. </w:t>
      </w:r>
    </w:p>
    <w:p w14:paraId="7E0307E0" w14:textId="7B695FEA" w:rsidR="007C1139" w:rsidRPr="009B7A65" w:rsidRDefault="009B7A65" w:rsidP="009B7A65">
      <w:pPr>
        <w:pStyle w:val="QIDANSubheading"/>
      </w:pPr>
      <w:r w:rsidRPr="009B7A65">
        <w:lastRenderedPageBreak/>
        <w:t xml:space="preserve">Accessible Terms and Forms </w:t>
      </w:r>
    </w:p>
    <w:p w14:paraId="5552110A" w14:textId="77777777" w:rsidR="007C1139" w:rsidRDefault="007C1139" w:rsidP="007C1139">
      <w:pPr>
        <w:pStyle w:val="QIDANParagraph"/>
        <w:spacing w:after="120"/>
      </w:pPr>
      <w:r w:rsidRPr="00E45875">
        <w:t>All Residential Tenancies Authority (RTA) forms should be available in accessible formats that meet the diverse needs of people with disability. This should include providing forms in both Word and PDF formats, as this makes the document more accessible for screen readers. Additionally, all tenancy agreements should also have Easy Read versions available on the RTA website.</w:t>
      </w:r>
      <w:r w:rsidRPr="00E45875">
        <w:rPr>
          <w:rStyle w:val="FootnoteReference"/>
          <w:szCs w:val="24"/>
        </w:rPr>
        <w:footnoteReference w:id="4"/>
      </w:r>
      <w:r w:rsidRPr="00E45875">
        <w:t xml:space="preserve"> This promotes inclusion and supports people with disability to understand and interact with the terms directly, </w:t>
      </w:r>
      <w:r>
        <w:t xml:space="preserve">instead of relying on </w:t>
      </w:r>
      <w:r w:rsidRPr="00E45875">
        <w:t xml:space="preserve">others for </w:t>
      </w:r>
      <w:r>
        <w:t xml:space="preserve">help. </w:t>
      </w:r>
    </w:p>
    <w:p w14:paraId="48647F6E" w14:textId="77777777" w:rsidR="007C1139" w:rsidRDefault="007C1139" w:rsidP="007C1139">
      <w:pPr>
        <w:pStyle w:val="QIDANParagraph"/>
        <w:spacing w:after="120"/>
        <w:rPr>
          <w:bCs/>
        </w:rPr>
      </w:pPr>
      <w:r w:rsidRPr="00E45875">
        <w:rPr>
          <w:bCs/>
        </w:rPr>
        <w:t xml:space="preserve">We suggest </w:t>
      </w:r>
      <w:r>
        <w:rPr>
          <w:bCs/>
        </w:rPr>
        <w:t>t</w:t>
      </w:r>
      <w:r w:rsidRPr="00E45875">
        <w:rPr>
          <w:bCs/>
        </w:rPr>
        <w:t xml:space="preserve">he prescribed standard terms should include a section allowing parties to nominate their preferred method of communication. This would ensure tenants and residents with disability can engage in tenancy processes using accessible and inclusive channels such as email, phone, Auslan interpreters or communication aids. </w:t>
      </w:r>
    </w:p>
    <w:p w14:paraId="17759528" w14:textId="77777777" w:rsidR="007C1139" w:rsidRPr="00E45875" w:rsidRDefault="007C1139" w:rsidP="007C1139">
      <w:pPr>
        <w:pStyle w:val="QIDANParagraph"/>
        <w:spacing w:after="120"/>
        <w:rPr>
          <w:bCs/>
        </w:rPr>
      </w:pPr>
      <w:r w:rsidRPr="00E45875">
        <w:rPr>
          <w:bCs/>
        </w:rPr>
        <w:t xml:space="preserve">In relation to the standard terms of general tenancy agreements, QIDAN have concerns about the provision allowing the lessor or tenant to change the locks if they have a “reasonable excuse for making that change” (s 29(1)(b) of Part 2, Schedule 1, of the Regulation). This provision is quite broad, subjective, and undefined in the Regulation, leaving it open to interpretation and potential misuse. Given the significant privacy implications for people with disability, this provision lacks necessary safeguards. In our view, sections 29(1)(a), where both parties agree to the change, and 29(1) (c), where it is required in an emergency, are sufficient to cover situations where the right of privacy may be limited. The “reasonable excuse” provision is excessive and there is a risk that it could be used arbitrarily, therefore it should be removed to protect the right to privacy.  </w:t>
      </w:r>
    </w:p>
    <w:p w14:paraId="14E7F0E8" w14:textId="77777777" w:rsidR="007C1139" w:rsidRPr="00E45875" w:rsidRDefault="007C1139" w:rsidP="007C1139">
      <w:pPr>
        <w:pStyle w:val="QIDANParagraph"/>
        <w:spacing w:after="240"/>
        <w:rPr>
          <w:bCs/>
        </w:rPr>
      </w:pPr>
      <w:r w:rsidRPr="00E45875">
        <w:rPr>
          <w:bCs/>
        </w:rPr>
        <w:t xml:space="preserve">Turning to the standard terms of rooming accommodation agreements, we have similar concerns as highlighted above. Section 19, of Part 2, Schedule 4 of the Regulation, provides that residents cannot make copies of the key without the providers permission (subsection (3)) and tamper with a door lock in the rental premises (subsection (4)). These </w:t>
      </w:r>
      <w:r w:rsidRPr="00E45875">
        <w:rPr>
          <w:bCs/>
        </w:rPr>
        <w:lastRenderedPageBreak/>
        <w:t xml:space="preserve">prohibitions should be reciprocated by applying the same prohibitions to providers. Without such protections, there is a risk that providers could copy keys or alter locks without consent, constituting a break of residents’ privacy.  </w:t>
      </w:r>
    </w:p>
    <w:p w14:paraId="2111B1CD" w14:textId="77777777" w:rsidR="007C1139" w:rsidRPr="007513F8" w:rsidRDefault="007C1139" w:rsidP="007513F8">
      <w:pPr>
        <w:pStyle w:val="QIDANSubheading"/>
      </w:pPr>
      <w:r w:rsidRPr="007513F8">
        <w:t>Rooming accommodation – house rules</w:t>
      </w:r>
    </w:p>
    <w:p w14:paraId="3EDEBDD2" w14:textId="77777777" w:rsidR="007C1139" w:rsidRPr="00E45875" w:rsidRDefault="007C1139" w:rsidP="007C1139">
      <w:pPr>
        <w:pStyle w:val="QIDANParagraph"/>
        <w:spacing w:after="120"/>
        <w:rPr>
          <w:bCs/>
        </w:rPr>
      </w:pPr>
      <w:r w:rsidRPr="00E45875">
        <w:rPr>
          <w:bCs/>
        </w:rPr>
        <w:t xml:space="preserve">Schedule 5 of the Regulation prescribes house rules, including provisions for door locks and keys (section 6). The current wording does not adequately reflect the provider’s limitation to access the residents’ room. The prohibition to tamper with, or change, a door lock as well as making copies of keys should be extended to providers, in a way that reflects the providers’ obligation to respect the resident’s right to privacy. We </w:t>
      </w:r>
      <w:r>
        <w:rPr>
          <w:bCs/>
        </w:rPr>
        <w:t>suggest</w:t>
      </w:r>
      <w:r w:rsidRPr="00E45875">
        <w:rPr>
          <w:bCs/>
        </w:rPr>
        <w:t xml:space="preserve"> the following change:</w:t>
      </w:r>
    </w:p>
    <w:p w14:paraId="0224EB8C" w14:textId="77777777" w:rsidR="007C1139" w:rsidRPr="00E45875" w:rsidRDefault="007C1139" w:rsidP="007C1139">
      <w:pPr>
        <w:pStyle w:val="QIDANParagraph"/>
        <w:spacing w:after="120"/>
        <w:ind w:left="426"/>
        <w:rPr>
          <w:bCs/>
        </w:rPr>
      </w:pPr>
      <w:r w:rsidRPr="00E45875">
        <w:rPr>
          <w:bCs/>
          <w:i/>
          <w:iCs/>
        </w:rPr>
        <w:t>door locks and keys</w:t>
      </w:r>
      <w:r w:rsidRPr="00E45875">
        <w:rPr>
          <w:bCs/>
        </w:rPr>
        <w:t xml:space="preserve"> – residents and providers must not tamper with or change door locks in the premises, and cannot make copies of keys without each other’s permission</w:t>
      </w:r>
    </w:p>
    <w:p w14:paraId="5D6D0D8F" w14:textId="77777777" w:rsidR="007C1139" w:rsidRDefault="007C1139" w:rsidP="007C1139">
      <w:pPr>
        <w:pStyle w:val="QIDANParagraph"/>
        <w:spacing w:after="120"/>
        <w:rPr>
          <w:bCs/>
        </w:rPr>
      </w:pPr>
      <w:r w:rsidRPr="00E45875">
        <w:rPr>
          <w:bCs/>
        </w:rPr>
        <w:t xml:space="preserve">The “animals house rules” should be updated to use the term “assistance animal”, instead of “working dog”, as per definition in section 9(2) of the </w:t>
      </w:r>
      <w:r w:rsidRPr="00E45875">
        <w:rPr>
          <w:bCs/>
          <w:i/>
          <w:iCs/>
        </w:rPr>
        <w:t xml:space="preserve">Disability Discrimination Act 1991 </w:t>
      </w:r>
      <w:r w:rsidRPr="00E45875">
        <w:rPr>
          <w:bCs/>
        </w:rPr>
        <w:t>(Qld). This definition should be replaced throughout the Regulation to ensure consistency and clarity.</w:t>
      </w:r>
    </w:p>
    <w:p w14:paraId="3BAE0D87" w14:textId="77777777" w:rsidR="007C1139" w:rsidRDefault="007C1139" w:rsidP="007C1139">
      <w:pPr>
        <w:pStyle w:val="QIDANParagraph"/>
        <w:spacing w:after="120"/>
        <w:rPr>
          <w:bCs/>
        </w:rPr>
      </w:pPr>
      <w:r>
        <w:rPr>
          <w:bCs/>
        </w:rPr>
        <w:t>In relation to the “common areas”, it is important to reinforce safety of tenants and residents when accessing common areas, which must be free from violence and abuse from co-tenants, co-residents and their guests. We suggest the following wording:</w:t>
      </w:r>
    </w:p>
    <w:p w14:paraId="1F49D813" w14:textId="77777777" w:rsidR="007C1139" w:rsidRPr="000E15EA" w:rsidRDefault="007C1139" w:rsidP="007C1139">
      <w:pPr>
        <w:pStyle w:val="QIDANParagraph"/>
        <w:spacing w:after="120"/>
        <w:ind w:left="426"/>
        <w:rPr>
          <w:bCs/>
          <w:lang w:val="en-GB"/>
        </w:rPr>
      </w:pPr>
      <w:r w:rsidRPr="000E15EA">
        <w:rPr>
          <w:bCs/>
          <w:i/>
          <w:iCs/>
          <w:lang w:val="en-GB"/>
        </w:rPr>
        <w:t>common areas</w:t>
      </w:r>
      <w:r>
        <w:rPr>
          <w:bCs/>
          <w:lang w:val="en-GB"/>
        </w:rPr>
        <w:t xml:space="preserve"> – </w:t>
      </w:r>
      <w:r w:rsidRPr="000E15EA">
        <w:rPr>
          <w:bCs/>
          <w:lang w:val="en-GB"/>
        </w:rPr>
        <w:t xml:space="preserve">the provider, residents and guests must ensure common areas are </w:t>
      </w:r>
      <w:r>
        <w:rPr>
          <w:bCs/>
          <w:lang w:val="en-GB"/>
        </w:rPr>
        <w:t xml:space="preserve">safe, </w:t>
      </w:r>
      <w:r w:rsidRPr="000E15EA">
        <w:rPr>
          <w:bCs/>
          <w:lang w:val="en-GB"/>
        </w:rPr>
        <w:t>clean and tidy, and providers must take steps to ensure common areas and facilities are kept</w:t>
      </w:r>
      <w:r w:rsidRPr="00845F2C">
        <w:rPr>
          <w:bCs/>
          <w:lang w:val="en-GB"/>
        </w:rPr>
        <w:t xml:space="preserve"> </w:t>
      </w:r>
      <w:r w:rsidRPr="000E15EA">
        <w:rPr>
          <w:bCs/>
          <w:lang w:val="en-GB"/>
        </w:rPr>
        <w:t>and in good repair</w:t>
      </w:r>
      <w:r>
        <w:rPr>
          <w:bCs/>
          <w:lang w:val="en-GB"/>
        </w:rPr>
        <w:t xml:space="preserve"> and</w:t>
      </w:r>
      <w:r w:rsidRPr="000E15EA">
        <w:rPr>
          <w:bCs/>
          <w:lang w:val="en-GB"/>
        </w:rPr>
        <w:t xml:space="preserve"> safe</w:t>
      </w:r>
      <w:r>
        <w:rPr>
          <w:bCs/>
          <w:lang w:val="en-GB"/>
        </w:rPr>
        <w:t>, free from violence and abuse</w:t>
      </w:r>
      <w:r w:rsidRPr="00845F2C">
        <w:rPr>
          <w:bCs/>
        </w:rPr>
        <w:t xml:space="preserve"> </w:t>
      </w:r>
      <w:r>
        <w:rPr>
          <w:bCs/>
        </w:rPr>
        <w:t>from co-tenants, co-residents and their guests</w:t>
      </w:r>
      <w:r w:rsidRPr="000E15EA">
        <w:rPr>
          <w:bCs/>
          <w:lang w:val="en-GB"/>
        </w:rPr>
        <w:t xml:space="preserve">. Common areas include a lounge, television or dining room, toilets and bathrooms, kitchens, hallways, patios and yards </w:t>
      </w:r>
    </w:p>
    <w:p w14:paraId="6EF3172F" w14:textId="77777777" w:rsidR="007C1139" w:rsidRPr="00E45875" w:rsidRDefault="007C1139" w:rsidP="007C1139">
      <w:pPr>
        <w:pStyle w:val="QIDANParagraph"/>
        <w:spacing w:after="120"/>
        <w:rPr>
          <w:bCs/>
        </w:rPr>
      </w:pPr>
      <w:r w:rsidRPr="00E45875">
        <w:rPr>
          <w:bCs/>
        </w:rPr>
        <w:t xml:space="preserve">The prescribed house rules about “residents’ and guests’ behaviour” may unintentionally disadvantage people with disability. The current rule does not consider that certain </w:t>
      </w:r>
      <w:r w:rsidRPr="00E45875">
        <w:rPr>
          <w:bCs/>
        </w:rPr>
        <w:lastRenderedPageBreak/>
        <w:t xml:space="preserve">behaviours may stem from a person’s disability and may not be intended to interfere with the peace, comfort, or privacy of others. To ensure the rules are fair and non-discriminatory, we </w:t>
      </w:r>
      <w:r>
        <w:rPr>
          <w:bCs/>
        </w:rPr>
        <w:t>suggest</w:t>
      </w:r>
      <w:r w:rsidRPr="00E45875">
        <w:rPr>
          <w:bCs/>
        </w:rPr>
        <w:t xml:space="preserve"> the following revised wording: </w:t>
      </w:r>
    </w:p>
    <w:p w14:paraId="7ECD4E72" w14:textId="77777777" w:rsidR="007C1139" w:rsidRPr="00E45875" w:rsidRDefault="007C1139" w:rsidP="007C1139">
      <w:pPr>
        <w:pStyle w:val="QIDANParagraph"/>
        <w:spacing w:after="120"/>
        <w:ind w:left="426"/>
        <w:rPr>
          <w:bCs/>
        </w:rPr>
      </w:pPr>
      <w:r w:rsidRPr="00E45875">
        <w:rPr>
          <w:bCs/>
          <w:i/>
          <w:iCs/>
        </w:rPr>
        <w:t>residents’ and guests’ behaviour</w:t>
      </w:r>
      <w:r w:rsidRPr="00E45875">
        <w:rPr>
          <w:bCs/>
        </w:rPr>
        <w:t xml:space="preserve"> – that residents and their guests must not intentionally interfere with the peace, comfort or privacy of other residents. If applicable and where relevant, residents’ disability and the nature of that disability should be taken into consideration.</w:t>
      </w:r>
    </w:p>
    <w:p w14:paraId="25476CAB" w14:textId="77777777" w:rsidR="007C1139" w:rsidRPr="00E45875" w:rsidRDefault="007C1139" w:rsidP="007C1139">
      <w:pPr>
        <w:pStyle w:val="QIDANParagraph"/>
        <w:spacing w:after="120"/>
        <w:rPr>
          <w:bCs/>
        </w:rPr>
      </w:pPr>
      <w:r w:rsidRPr="00E45875">
        <w:rPr>
          <w:bCs/>
        </w:rPr>
        <w:t xml:space="preserve">The </w:t>
      </w:r>
      <w:r w:rsidRPr="00E45875">
        <w:rPr>
          <w:bCs/>
          <w:i/>
          <w:iCs/>
        </w:rPr>
        <w:t>Anti-Discrimination Act 1991</w:t>
      </w:r>
      <w:r w:rsidRPr="00E45875">
        <w:rPr>
          <w:bCs/>
        </w:rPr>
        <w:t xml:space="preserve"> (Qld) prohibits discrimination on the basis of impairment.</w:t>
      </w:r>
      <w:r w:rsidRPr="00E45875">
        <w:rPr>
          <w:rStyle w:val="FootnoteReference"/>
          <w:bCs/>
          <w:szCs w:val="24"/>
        </w:rPr>
        <w:footnoteReference w:id="5"/>
      </w:r>
      <w:r w:rsidRPr="00E45875">
        <w:rPr>
          <w:bCs/>
        </w:rPr>
        <w:t xml:space="preserve"> Relevantly, we refer to the definition of impairment provided:</w:t>
      </w:r>
      <w:r w:rsidRPr="00E45875">
        <w:rPr>
          <w:rStyle w:val="FootnoteReference"/>
          <w:bCs/>
          <w:szCs w:val="24"/>
        </w:rPr>
        <w:footnoteReference w:id="6"/>
      </w:r>
    </w:p>
    <w:p w14:paraId="40209C56" w14:textId="77777777" w:rsidR="007C1139" w:rsidRPr="00E45875" w:rsidRDefault="007C1139" w:rsidP="007C1139">
      <w:pPr>
        <w:pStyle w:val="QIDANParagraph"/>
        <w:ind w:left="426"/>
        <w:rPr>
          <w:bCs/>
          <w:lang w:val="en-GB"/>
        </w:rPr>
      </w:pPr>
      <w:r w:rsidRPr="00E45875">
        <w:rPr>
          <w:bCs/>
          <w:lang w:val="en-GB"/>
        </w:rPr>
        <w:t xml:space="preserve">impairment, in relation to a person, means – </w:t>
      </w:r>
    </w:p>
    <w:p w14:paraId="3E1A5C45" w14:textId="77777777" w:rsidR="007C1139" w:rsidRPr="00E45875" w:rsidRDefault="007C1139" w:rsidP="007C1139">
      <w:pPr>
        <w:pStyle w:val="QIDANParagraph"/>
        <w:ind w:left="426"/>
        <w:rPr>
          <w:bCs/>
          <w:lang w:val="en-GB"/>
        </w:rPr>
      </w:pPr>
      <w:r w:rsidRPr="00E45875">
        <w:rPr>
          <w:bCs/>
          <w:lang w:val="en-GB"/>
        </w:rPr>
        <w:t>…</w:t>
      </w:r>
    </w:p>
    <w:p w14:paraId="1452926B" w14:textId="77777777" w:rsidR="007C1139" w:rsidRPr="00E45875" w:rsidRDefault="007C1139" w:rsidP="007C1139">
      <w:pPr>
        <w:pStyle w:val="QIDANParagraph"/>
        <w:spacing w:after="120"/>
        <w:ind w:left="426"/>
        <w:rPr>
          <w:bCs/>
          <w:lang w:val="en-GB"/>
        </w:rPr>
      </w:pPr>
      <w:r w:rsidRPr="00E45875">
        <w:rPr>
          <w:bCs/>
          <w:lang w:val="en-GB"/>
        </w:rPr>
        <w:t>(d) a condition, illness or disease that impairs a person’s thought processes, perception of reality, emotions or judgment or that results in disturbed behaviour; </w:t>
      </w:r>
    </w:p>
    <w:p w14:paraId="3EC7D40F" w14:textId="77777777" w:rsidR="007C1139" w:rsidRPr="00E45875" w:rsidRDefault="007C1139" w:rsidP="007C1139">
      <w:pPr>
        <w:pStyle w:val="QIDANParagraph"/>
        <w:spacing w:after="240"/>
        <w:rPr>
          <w:bCs/>
          <w:lang w:val="en-GB"/>
        </w:rPr>
      </w:pPr>
      <w:r>
        <w:rPr>
          <w:bCs/>
          <w:lang w:val="en-GB"/>
        </w:rPr>
        <w:t>These are</w:t>
      </w:r>
      <w:r w:rsidRPr="00E45875">
        <w:rPr>
          <w:bCs/>
          <w:lang w:val="en-GB"/>
        </w:rPr>
        <w:t xml:space="preserve"> existing anti-discriminatory protections and legal definitions that can be applied to the house rules immediately.</w:t>
      </w:r>
    </w:p>
    <w:p w14:paraId="131F1E57" w14:textId="77777777" w:rsidR="007C1139" w:rsidRPr="00943641" w:rsidRDefault="007C1139" w:rsidP="00943641">
      <w:pPr>
        <w:pStyle w:val="QIDANSubheading"/>
      </w:pPr>
      <w:r w:rsidRPr="00943641">
        <w:t>Application for repeated breaches termination order</w:t>
      </w:r>
    </w:p>
    <w:p w14:paraId="2BDBAFBF" w14:textId="5F76747C" w:rsidR="007C1139" w:rsidRPr="00B74501" w:rsidRDefault="007C1139" w:rsidP="007C1139">
      <w:pPr>
        <w:pStyle w:val="QIDANParagraph"/>
        <w:spacing w:after="120"/>
      </w:pPr>
      <w:r w:rsidRPr="00B74501">
        <w:t xml:space="preserve">In QIDAN’s view, the prescribed period for repeated breaches should be </w:t>
      </w:r>
      <w:r w:rsidR="00943641">
        <w:t xml:space="preserve">removed or reduced to </w:t>
      </w:r>
      <w:r w:rsidRPr="00B74501">
        <w:t xml:space="preserve">6 months. People with disability require greater protection from termination orders, especially when alleged breaches involve “undesirable behaviour”, which may be directly linked to the nature of the tenant’s disability. </w:t>
      </w:r>
    </w:p>
    <w:p w14:paraId="25F1F872" w14:textId="6BFA0A14" w:rsidR="007C1139" w:rsidRPr="00B74501" w:rsidRDefault="007C1139" w:rsidP="007C1139">
      <w:pPr>
        <w:pStyle w:val="QIDANParagraph"/>
        <w:spacing w:after="240"/>
      </w:pPr>
      <w:r w:rsidRPr="00B74501">
        <w:t>Prescribing longer periods for repeated breaches (e.g. 18 months) risks unfairly penalising tenants with disability by treating isolated or unintended incidents as part of a pattern. In many cases, such incidents occur during periods when supports are reduced or unavailable, and do not reflect ongoing misconduct.</w:t>
      </w:r>
      <w:r>
        <w:t xml:space="preserve"> Often, tenants with disability need </w:t>
      </w:r>
      <w:r>
        <w:lastRenderedPageBreak/>
        <w:t>support to remedy breach but this is not always available.</w:t>
      </w:r>
      <w:r w:rsidRPr="00B74501">
        <w:t xml:space="preserve"> A shorter prescribed period allows greater flexibility and recognises the fluctuating support needs of tenants with disability. Any extension would increase the risk of housing insecurity for people with disability. </w:t>
      </w:r>
    </w:p>
    <w:p w14:paraId="4ED500E2" w14:textId="77777777" w:rsidR="007C1139" w:rsidRPr="006370BF" w:rsidRDefault="007C1139" w:rsidP="006370BF">
      <w:pPr>
        <w:pStyle w:val="QIDANSubheading"/>
      </w:pPr>
      <w:r w:rsidRPr="006370BF">
        <w:t>Approved reasons for listing on tenancy database</w:t>
      </w:r>
    </w:p>
    <w:p w14:paraId="5C8FC547" w14:textId="77777777" w:rsidR="007C1139" w:rsidRPr="008F2C39" w:rsidRDefault="007C1139" w:rsidP="007C1139">
      <w:pPr>
        <w:pStyle w:val="QIDANParagraph"/>
        <w:spacing w:after="120"/>
      </w:pPr>
      <w:r w:rsidRPr="008F2C39">
        <w:t xml:space="preserve">QIDAN hold concerns regarding two approved reasons for listing a person on a tenancy database: “objectionable behaviour” and “repeated breaches”. As previously outlined, people with disability may exhibit </w:t>
      </w:r>
      <w:r>
        <w:t xml:space="preserve">unintentional </w:t>
      </w:r>
      <w:r w:rsidRPr="008F2C39">
        <w:t xml:space="preserve">behaviours related to their disability. Such behaviours should not be treated as misconduct or grounds for punishment. </w:t>
      </w:r>
    </w:p>
    <w:p w14:paraId="12901335" w14:textId="77777777" w:rsidR="007C1139" w:rsidRPr="008F2C39" w:rsidRDefault="007C1139" w:rsidP="007C1139">
      <w:pPr>
        <w:pStyle w:val="QIDANParagraph"/>
        <w:spacing w:after="120"/>
      </w:pPr>
      <w:r w:rsidRPr="008F2C39">
        <w:t xml:space="preserve">Currently, neither the Regulation nor the Act requires that consideration must be given to a tenant’s or resident’s disability and the nature of that disability when allegations of objectionable behaviours or alleged breaches arise. This omission creates a serious risk of discrimination and unjust outcomes. </w:t>
      </w:r>
    </w:p>
    <w:p w14:paraId="3C3D86A3" w14:textId="77777777" w:rsidR="007C1139" w:rsidRDefault="007C1139" w:rsidP="007C1139">
      <w:pPr>
        <w:pStyle w:val="QIDANParagraph"/>
        <w:spacing w:after="240"/>
      </w:pPr>
      <w:r w:rsidRPr="008F2C39">
        <w:t>We refer to Recommendation 7.37 of the Disability Royal Commission (DRC) Report, which recommends increased tenancy and occupancy protections for people with disability, including “empowering the tribunal to take the tenant’s or a co-occupier’s disability and the nature of that disability into account” when making termination orders, which may include due to repeated breaches. Given the inherent power imbalance between lessors or service providers and tenants or residents, and the reality that many people with disability have limited informal supports or advocacy, it is critical that legislative and regulatory frameworks ensure disability is</w:t>
      </w:r>
      <w:r>
        <w:t xml:space="preserve"> a</w:t>
      </w:r>
      <w:r w:rsidRPr="008F2C39">
        <w:t xml:space="preserve"> formally recognised consideration in tenancy database listings.  </w:t>
      </w:r>
    </w:p>
    <w:p w14:paraId="687854AC" w14:textId="77777777" w:rsidR="006370BF" w:rsidRDefault="006370BF" w:rsidP="007C1139">
      <w:pPr>
        <w:pStyle w:val="QIDANParagraph"/>
        <w:spacing w:after="240"/>
      </w:pPr>
    </w:p>
    <w:p w14:paraId="41C8D77D" w14:textId="77777777" w:rsidR="006370BF" w:rsidRDefault="006370BF" w:rsidP="007C1139">
      <w:pPr>
        <w:pStyle w:val="QIDANParagraph"/>
        <w:spacing w:after="240"/>
      </w:pPr>
    </w:p>
    <w:p w14:paraId="7D4FCAF4" w14:textId="77777777" w:rsidR="006370BF" w:rsidRPr="008F2C39" w:rsidRDefault="006370BF" w:rsidP="007C1139">
      <w:pPr>
        <w:pStyle w:val="QIDANParagraph"/>
        <w:spacing w:after="240"/>
      </w:pPr>
    </w:p>
    <w:p w14:paraId="1F62DF67" w14:textId="77777777" w:rsidR="007C1139" w:rsidRPr="006370BF" w:rsidRDefault="007C1139" w:rsidP="006370BF">
      <w:pPr>
        <w:pStyle w:val="QIDANSubheading"/>
      </w:pPr>
      <w:r w:rsidRPr="006370BF">
        <w:lastRenderedPageBreak/>
        <w:t xml:space="preserve">Minimum housing standards </w:t>
      </w:r>
    </w:p>
    <w:p w14:paraId="2766C077" w14:textId="02982D78" w:rsidR="007C1139" w:rsidRPr="00283A64" w:rsidRDefault="007C1139" w:rsidP="007C1139">
      <w:pPr>
        <w:pStyle w:val="QIDANParagraph"/>
        <w:spacing w:after="120"/>
      </w:pPr>
      <w:r>
        <w:t xml:space="preserve">Minimum housing standards are prescribed by the Regulation </w:t>
      </w:r>
      <w:r w:rsidRPr="00283A64">
        <w:t>in Parts 1 and 2, of Schedule 5A</w:t>
      </w:r>
      <w:r>
        <w:t>.</w:t>
      </w:r>
      <w:r w:rsidR="00443DAF">
        <w:t xml:space="preserve"> </w:t>
      </w:r>
      <w:r w:rsidRPr="00283A64">
        <w:t>Recommendation 7.35 of the DRC Report recommends states immediately adopt mandatory Australian Building Codes Board Livable Housing Design Standards</w:t>
      </w:r>
      <w:r>
        <w:t xml:space="preserve"> (LHDS)</w:t>
      </w:r>
      <w:r w:rsidRPr="00283A64">
        <w:t xml:space="preserve"> for all new dwellings. In response to the DRC Report, the Queensland Government noted it is expected 100% of homes will comply with the </w:t>
      </w:r>
      <w:r>
        <w:t>LHDS</w:t>
      </w:r>
      <w:r w:rsidRPr="00283A64">
        <w:t>, commencing 1 October 2023.</w:t>
      </w:r>
      <w:r>
        <w:rPr>
          <w:rStyle w:val="FootnoteReference"/>
        </w:rPr>
        <w:footnoteReference w:id="7"/>
      </w:r>
      <w:r w:rsidRPr="00283A64">
        <w:t xml:space="preserve"> The Queensland Development Code 4.5 was developed to support industry’s transition with implementing </w:t>
      </w:r>
      <w:r>
        <w:t>LHDS</w:t>
      </w:r>
      <w:r w:rsidRPr="00283A64">
        <w:t>.</w:t>
      </w:r>
      <w:r>
        <w:rPr>
          <w:rStyle w:val="FootnoteReference"/>
        </w:rPr>
        <w:footnoteReference w:id="8"/>
      </w:r>
      <w:r w:rsidRPr="00283A64">
        <w:t xml:space="preserve"> However, the Regulation’s provisions do not reflect the application of such standards resulting in a disconnect between building requirements and tenancy regulation. </w:t>
      </w:r>
    </w:p>
    <w:p w14:paraId="2BF26A47" w14:textId="77777777" w:rsidR="007C1139" w:rsidRPr="00283A64" w:rsidRDefault="007C1139" w:rsidP="007C1139">
      <w:pPr>
        <w:pStyle w:val="QIDANParagraph"/>
        <w:spacing w:after="120"/>
      </w:pPr>
      <w:r w:rsidRPr="00283A64">
        <w:t xml:space="preserve">We </w:t>
      </w:r>
      <w:r>
        <w:t>suggest</w:t>
      </w:r>
      <w:r w:rsidRPr="00283A64">
        <w:t xml:space="preserve"> the Queensland Development Code 4.5 is referenced in the Regulation to reflect the </w:t>
      </w:r>
      <w:r>
        <w:t>LHDS</w:t>
      </w:r>
      <w:r w:rsidRPr="00283A64">
        <w:t xml:space="preserve"> as the current prescribed minimum building standards. We note although different, “building” and “housing” standards overlap as housing derives from building. </w:t>
      </w:r>
    </w:p>
    <w:p w14:paraId="5C004607" w14:textId="14DB806C" w:rsidR="002C77FC" w:rsidRPr="00443DAF" w:rsidRDefault="007C1139" w:rsidP="00443DAF">
      <w:pPr>
        <w:pStyle w:val="QIDANParagraph"/>
        <w:spacing w:after="240"/>
      </w:pPr>
      <w:r w:rsidRPr="00283A64">
        <w:t>Access to housing that meets standards is particularly important for people with disability. We have observed instances where buildings are not built for purpose making “quite enjoyment” impossible due to walls being so thin that co-tenants or co-residents experience issues with each other. Sometimes, this issue is exacerbated by the nature of a person with disability who may use different methods of communication who may be seen by others as “nuisance”. To improve the accessibility and appropriateness of housing, QIDAN</w:t>
      </w:r>
      <w:r>
        <w:t xml:space="preserve"> suggests</w:t>
      </w:r>
      <w:r w:rsidRPr="00283A64">
        <w:t xml:space="preserve"> that “soundproof” should be included as a prescribed minimum housing standard (Schedule 5A). This would help protect the rights of tenants to quiet enjoyment and reduce the risk of discriminatory responses to behaviours or support needs associated with disability. </w:t>
      </w:r>
    </w:p>
    <w:sectPr w:rsidR="002C77FC" w:rsidRPr="00443DAF" w:rsidSect="00CD2E3A">
      <w:headerReference w:type="default" r:id="rId11"/>
      <w:footerReference w:type="even" r:id="rId12"/>
      <w:footerReference w:type="default" r:id="rId13"/>
      <w:headerReference w:type="first" r:id="rId14"/>
      <w:footerReference w:type="first" r:id="rId15"/>
      <w:pgSz w:w="11901" w:h="16817"/>
      <w:pgMar w:top="1440" w:right="1080" w:bottom="1440" w:left="1080" w:header="0" w:footer="7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8D5BC" w14:textId="77777777" w:rsidR="0029391B" w:rsidRDefault="0029391B" w:rsidP="003A4839">
      <w:r>
        <w:separator/>
      </w:r>
    </w:p>
  </w:endnote>
  <w:endnote w:type="continuationSeparator" w:id="0">
    <w:p w14:paraId="5557B57E" w14:textId="77777777" w:rsidR="0029391B" w:rsidRDefault="0029391B" w:rsidP="003A4839">
      <w:r>
        <w:continuationSeparator/>
      </w:r>
    </w:p>
  </w:endnote>
  <w:endnote w:type="continuationNotice" w:id="1">
    <w:p w14:paraId="7BDF62B1" w14:textId="77777777" w:rsidR="0029391B" w:rsidRDefault="002939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unito">
    <w:charset w:val="00"/>
    <w:family w:val="auto"/>
    <w:pitch w:val="variable"/>
    <w:sig w:usb0="A00002FF" w:usb1="5000204B" w:usb2="00000000" w:usb3="00000000" w:csb0="00000197" w:csb1="00000000"/>
  </w:font>
  <w:font w:name="Aptos Display">
    <w:charset w:val="00"/>
    <w:family w:val="swiss"/>
    <w:pitch w:val="variable"/>
    <w:sig w:usb0="20000287" w:usb1="00000003" w:usb2="00000000" w:usb3="00000000" w:csb0="0000019F" w:csb1="00000000"/>
  </w:font>
  <w:font w:name="Poppins SemiBold">
    <w:charset w:val="00"/>
    <w:family w:val="auto"/>
    <w:pitch w:val="variable"/>
    <w:sig w:usb0="00008007" w:usb1="00000000" w:usb2="00000000" w:usb3="00000000" w:csb0="00000093" w:csb1="00000000"/>
  </w:font>
  <w:font w:name="Nunito Sans">
    <w:altName w:val="Calibri"/>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3757904"/>
      <w:docPartObj>
        <w:docPartGallery w:val="Page Numbers (Bottom of Page)"/>
        <w:docPartUnique/>
      </w:docPartObj>
    </w:sdtPr>
    <w:sdtEndPr>
      <w:rPr>
        <w:rStyle w:val="PageNumber"/>
      </w:rPr>
    </w:sdtEndPr>
    <w:sdtContent>
      <w:p w14:paraId="0F6B2E3A" w14:textId="77777777" w:rsidR="002C77FC" w:rsidRDefault="002C77FC" w:rsidP="002142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D9324D" w14:textId="77777777" w:rsidR="002C77FC" w:rsidRDefault="002C77FC" w:rsidP="002C77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Nunito Sans" w:hAnsi="Nunito Sans"/>
        <w:color w:val="690048"/>
        <w:sz w:val="20"/>
        <w:szCs w:val="20"/>
      </w:rPr>
      <w:id w:val="2107300553"/>
      <w:docPartObj>
        <w:docPartGallery w:val="Page Numbers (Bottom of Page)"/>
        <w:docPartUnique/>
      </w:docPartObj>
    </w:sdtPr>
    <w:sdtEndPr>
      <w:rPr>
        <w:rStyle w:val="PageNumber"/>
      </w:rPr>
    </w:sdtEndPr>
    <w:sdtContent>
      <w:p w14:paraId="2588E023" w14:textId="77777777" w:rsidR="002C77FC" w:rsidRPr="00C2622E" w:rsidRDefault="002C77FC" w:rsidP="002142F0">
        <w:pPr>
          <w:pStyle w:val="Footer"/>
          <w:framePr w:wrap="none" w:vAnchor="text" w:hAnchor="margin" w:xAlign="right" w:y="1"/>
          <w:rPr>
            <w:rStyle w:val="PageNumber"/>
            <w:rFonts w:ascii="Nunito Sans" w:hAnsi="Nunito Sans"/>
            <w:color w:val="690048"/>
            <w:sz w:val="20"/>
            <w:szCs w:val="20"/>
          </w:rPr>
        </w:pPr>
        <w:r w:rsidRPr="00C2622E">
          <w:rPr>
            <w:rStyle w:val="PageNumber"/>
            <w:rFonts w:ascii="Nunito Sans" w:hAnsi="Nunito Sans"/>
            <w:color w:val="690048"/>
            <w:sz w:val="20"/>
            <w:szCs w:val="20"/>
          </w:rPr>
          <w:fldChar w:fldCharType="begin"/>
        </w:r>
        <w:r w:rsidRPr="00C2622E">
          <w:rPr>
            <w:rStyle w:val="PageNumber"/>
            <w:rFonts w:ascii="Nunito Sans" w:hAnsi="Nunito Sans"/>
            <w:color w:val="690048"/>
            <w:sz w:val="20"/>
            <w:szCs w:val="20"/>
          </w:rPr>
          <w:instrText xml:space="preserve"> PAGE </w:instrText>
        </w:r>
        <w:r w:rsidRPr="00C2622E">
          <w:rPr>
            <w:rStyle w:val="PageNumber"/>
            <w:rFonts w:ascii="Nunito Sans" w:hAnsi="Nunito Sans"/>
            <w:color w:val="690048"/>
            <w:sz w:val="20"/>
            <w:szCs w:val="20"/>
          </w:rPr>
          <w:fldChar w:fldCharType="separate"/>
        </w:r>
        <w:r w:rsidRPr="00C2622E">
          <w:rPr>
            <w:rStyle w:val="PageNumber"/>
            <w:rFonts w:ascii="Nunito Sans" w:hAnsi="Nunito Sans"/>
            <w:noProof/>
            <w:color w:val="690048"/>
            <w:sz w:val="20"/>
            <w:szCs w:val="20"/>
          </w:rPr>
          <w:t>2</w:t>
        </w:r>
        <w:r w:rsidRPr="00C2622E">
          <w:rPr>
            <w:rStyle w:val="PageNumber"/>
            <w:rFonts w:ascii="Nunito Sans" w:hAnsi="Nunito Sans"/>
            <w:color w:val="690048"/>
            <w:sz w:val="20"/>
            <w:szCs w:val="20"/>
          </w:rPr>
          <w:fldChar w:fldCharType="end"/>
        </w:r>
      </w:p>
    </w:sdtContent>
  </w:sdt>
  <w:p w14:paraId="0F0B709D" w14:textId="26292B40" w:rsidR="002C77FC" w:rsidRPr="002C77FC" w:rsidRDefault="002C77FC" w:rsidP="002C77FC">
    <w:pPr>
      <w:ind w:right="360"/>
      <w:jc w:val="right"/>
      <w:rPr>
        <w:rFonts w:ascii="Nunito Sans" w:hAnsi="Nunito Sans"/>
        <w:color w:val="690048"/>
        <w:sz w:val="20"/>
        <w:szCs w:val="20"/>
        <w:lang w:val="en-AU"/>
      </w:rPr>
    </w:pPr>
    <w:r w:rsidRPr="002C77FC">
      <w:rPr>
        <w:rFonts w:ascii="Nunito Sans" w:hAnsi="Nunito Sans"/>
        <w:color w:val="690048"/>
        <w:sz w:val="20"/>
        <w:szCs w:val="20"/>
        <w:lang w:val="en-AU"/>
      </w:rPr>
      <w:t>QIDAN</w:t>
    </w:r>
    <w:r>
      <w:rPr>
        <w:rFonts w:ascii="Nunito Sans" w:hAnsi="Nunito Sans"/>
        <w:color w:val="690048"/>
        <w:sz w:val="20"/>
        <w:szCs w:val="20"/>
        <w:lang w:val="en-AU"/>
      </w:rPr>
      <w:t xml:space="preserve"> Report T</w:t>
    </w:r>
    <w:r w:rsidR="00CD2E3A">
      <w:rPr>
        <w:rFonts w:ascii="Nunito Sans" w:hAnsi="Nunito Sans"/>
        <w:color w:val="690048"/>
        <w:sz w:val="20"/>
        <w:szCs w:val="20"/>
        <w:lang w:val="en-AU"/>
      </w:rPr>
      <w:t>i</w:t>
    </w:r>
    <w:r>
      <w:rPr>
        <w:rFonts w:ascii="Nunito Sans" w:hAnsi="Nunito Sans"/>
        <w:color w:val="690048"/>
        <w:sz w:val="20"/>
        <w:szCs w:val="20"/>
        <w:lang w:val="en-AU"/>
      </w:rPr>
      <w:t>tle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AF83" w14:textId="77777777" w:rsidR="00E55601" w:rsidRPr="00E55601" w:rsidRDefault="00E55601">
    <w:pPr>
      <w:pStyle w:val="Footer"/>
      <w:rPr>
        <w:rFonts w:ascii="Nunito Sans" w:hAnsi="Nunito Sans"/>
        <w:b/>
        <w:bCs/>
        <w:color w:val="FFFFFF" w:themeColor="background1"/>
        <w:sz w:val="20"/>
        <w:szCs w:val="20"/>
        <w:lang w:val="en-US"/>
      </w:rPr>
    </w:pPr>
    <w:r w:rsidRPr="00E55601">
      <w:rPr>
        <w:rFonts w:ascii="Nunito Sans" w:hAnsi="Nunito Sans"/>
        <w:b/>
        <w:bCs/>
        <w:color w:val="FAC2A7"/>
        <w:sz w:val="20"/>
        <w:szCs w:val="20"/>
        <w:lang w:val="en-US"/>
      </w:rPr>
      <w:t>Working together</w:t>
    </w:r>
    <w:r w:rsidRPr="00E55601">
      <w:rPr>
        <w:rFonts w:ascii="Nunito Sans" w:hAnsi="Nunito Sans"/>
        <w:b/>
        <w:bCs/>
        <w:color w:val="F26722"/>
        <w:sz w:val="20"/>
        <w:szCs w:val="20"/>
        <w:lang w:val="en-US"/>
      </w:rPr>
      <w:t xml:space="preserve"> </w:t>
    </w:r>
    <w:r w:rsidRPr="00E55601">
      <w:rPr>
        <w:rFonts w:ascii="Nunito Sans" w:hAnsi="Nunito Sans"/>
        <w:b/>
        <w:bCs/>
        <w:color w:val="FFFFFF" w:themeColor="background1"/>
        <w:sz w:val="20"/>
        <w:szCs w:val="20"/>
        <w:lang w:val="en-US"/>
      </w:rPr>
      <w:t>to achieve positive change for people with disability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91480" w14:textId="77777777" w:rsidR="0029391B" w:rsidRDefault="0029391B" w:rsidP="003A4839">
      <w:r>
        <w:separator/>
      </w:r>
    </w:p>
  </w:footnote>
  <w:footnote w:type="continuationSeparator" w:id="0">
    <w:p w14:paraId="13031C2E" w14:textId="77777777" w:rsidR="0029391B" w:rsidRDefault="0029391B" w:rsidP="003A4839">
      <w:r>
        <w:continuationSeparator/>
      </w:r>
    </w:p>
  </w:footnote>
  <w:footnote w:type="continuationNotice" w:id="1">
    <w:p w14:paraId="7646DDF6" w14:textId="77777777" w:rsidR="0029391B" w:rsidRDefault="0029391B">
      <w:pPr>
        <w:spacing w:line="240" w:lineRule="auto"/>
      </w:pPr>
    </w:p>
  </w:footnote>
  <w:footnote w:id="2">
    <w:p w14:paraId="037E86EF" w14:textId="77777777" w:rsidR="0047734C" w:rsidRPr="00316FD5" w:rsidRDefault="0047734C" w:rsidP="0047734C">
      <w:pPr>
        <w:pStyle w:val="FootnoteText"/>
        <w:rPr>
          <w:lang w:val="en-AU"/>
        </w:rPr>
      </w:pPr>
      <w:r>
        <w:rPr>
          <w:rStyle w:val="FootnoteReference"/>
        </w:rPr>
        <w:footnoteRef/>
      </w:r>
      <w:r>
        <w:t xml:space="preserve"> </w:t>
      </w:r>
      <w:hyperlink r:id="rId1" w:history="1">
        <w:r w:rsidRPr="003572C9">
          <w:rPr>
            <w:rStyle w:val="Hyperlink"/>
          </w:rPr>
          <w:t>https://disabilitypathways.org.au/</w:t>
        </w:r>
      </w:hyperlink>
      <w:r>
        <w:t xml:space="preserve"> </w:t>
      </w:r>
    </w:p>
  </w:footnote>
  <w:footnote w:id="3">
    <w:p w14:paraId="280B2916" w14:textId="77777777" w:rsidR="0047734C" w:rsidRPr="00B7037F" w:rsidRDefault="0047734C" w:rsidP="0047734C">
      <w:pPr>
        <w:pStyle w:val="FootnoteText"/>
        <w:rPr>
          <w:lang w:val="en-AU"/>
        </w:rPr>
      </w:pPr>
      <w:r>
        <w:rPr>
          <w:rStyle w:val="FootnoteReference"/>
        </w:rPr>
        <w:footnoteRef/>
      </w:r>
      <w:r>
        <w:t xml:space="preserve"> </w:t>
      </w:r>
      <w:r w:rsidRPr="005132EF">
        <w:t xml:space="preserve">Community Support </w:t>
      </w:r>
      <w:r>
        <w:t>a</w:t>
      </w:r>
      <w:r w:rsidRPr="005132EF">
        <w:t>nd Services Committee</w:t>
      </w:r>
      <w:r>
        <w:t>, R</w:t>
      </w:r>
      <w:r w:rsidRPr="005132EF">
        <w:t xml:space="preserve">eport no. 44, 57th </w:t>
      </w:r>
      <w:r>
        <w:t>P</w:t>
      </w:r>
      <w:r w:rsidRPr="005132EF">
        <w:t xml:space="preserve">arliament, </w:t>
      </w:r>
      <w:r>
        <w:t>I</w:t>
      </w:r>
      <w:r w:rsidRPr="005132EF">
        <w:t xml:space="preserve">nquiry </w:t>
      </w:r>
      <w:r>
        <w:t>I</w:t>
      </w:r>
      <w:r w:rsidRPr="005132EF">
        <w:t xml:space="preserve">nto the </w:t>
      </w:r>
      <w:r>
        <w:t>P</w:t>
      </w:r>
      <w:r w:rsidRPr="005132EF">
        <w:t xml:space="preserve">rovision and </w:t>
      </w:r>
      <w:r>
        <w:t>R</w:t>
      </w:r>
      <w:r w:rsidRPr="005132EF">
        <w:t xml:space="preserve">egulation of </w:t>
      </w:r>
      <w:r>
        <w:t>S</w:t>
      </w:r>
      <w:r w:rsidRPr="005132EF">
        <w:t xml:space="preserve">upported </w:t>
      </w:r>
      <w:r>
        <w:t>A</w:t>
      </w:r>
      <w:r w:rsidRPr="005132EF">
        <w:t xml:space="preserve">ccommodation in </w:t>
      </w:r>
      <w:r>
        <w:t>Queensland,</w:t>
      </w:r>
      <w:r w:rsidRPr="005132EF">
        <w:t xml:space="preserve"> </w:t>
      </w:r>
      <w:hyperlink r:id="rId2" w:history="1">
        <w:r w:rsidRPr="00F43520">
          <w:rPr>
            <w:rStyle w:val="Hyperlink"/>
          </w:rPr>
          <w:t>Queensland Government Response</w:t>
        </w:r>
      </w:hyperlink>
      <w:r>
        <w:t>.</w:t>
      </w:r>
    </w:p>
  </w:footnote>
  <w:footnote w:id="4">
    <w:p w14:paraId="7EFB62C6" w14:textId="77777777" w:rsidR="007C1139" w:rsidRPr="00E53465" w:rsidRDefault="007C1139" w:rsidP="007C1139">
      <w:pPr>
        <w:pStyle w:val="FootnoteText"/>
        <w:rPr>
          <w:lang w:val="en-AU"/>
        </w:rPr>
      </w:pPr>
      <w:r>
        <w:rPr>
          <w:rStyle w:val="FootnoteReference"/>
        </w:rPr>
        <w:footnoteRef/>
      </w:r>
      <w:r>
        <w:t xml:space="preserve"> </w:t>
      </w:r>
      <w:hyperlink r:id="rId3" w:history="1">
        <w:r w:rsidRPr="009F5DAD">
          <w:rPr>
            <w:rStyle w:val="Hyperlink"/>
          </w:rPr>
          <w:t>https://www.stylemanual.gov.au/content-types/easy-read</w:t>
        </w:r>
      </w:hyperlink>
      <w:r>
        <w:t xml:space="preserve"> </w:t>
      </w:r>
    </w:p>
  </w:footnote>
  <w:footnote w:id="5">
    <w:p w14:paraId="0D0946A9" w14:textId="77777777" w:rsidR="007C1139" w:rsidRPr="00483FBA" w:rsidRDefault="007C1139" w:rsidP="007C1139">
      <w:pPr>
        <w:pStyle w:val="FootnoteText"/>
        <w:rPr>
          <w:lang w:val="en-AU"/>
        </w:rPr>
      </w:pPr>
      <w:r>
        <w:rPr>
          <w:rStyle w:val="FootnoteReference"/>
        </w:rPr>
        <w:footnoteRef/>
      </w:r>
      <w:r>
        <w:t xml:space="preserve"> </w:t>
      </w:r>
      <w:r w:rsidRPr="00483FBA">
        <w:rPr>
          <w:i/>
          <w:iCs/>
        </w:rPr>
        <w:t>Anti-Discrimination Act 1991</w:t>
      </w:r>
      <w:r w:rsidRPr="00483FBA">
        <w:t xml:space="preserve"> (Qld)</w:t>
      </w:r>
      <w:r>
        <w:t>, s</w:t>
      </w:r>
      <w:r>
        <w:rPr>
          <w:lang w:val="en-AU"/>
        </w:rPr>
        <w:t xml:space="preserve"> 7(h).</w:t>
      </w:r>
    </w:p>
  </w:footnote>
  <w:footnote w:id="6">
    <w:p w14:paraId="37E87745" w14:textId="77777777" w:rsidR="007C1139" w:rsidRPr="0049526B" w:rsidRDefault="007C1139" w:rsidP="007C1139">
      <w:pPr>
        <w:pStyle w:val="FootnoteText"/>
        <w:rPr>
          <w:lang w:val="en-AU"/>
        </w:rPr>
      </w:pPr>
      <w:r>
        <w:rPr>
          <w:rStyle w:val="FootnoteReference"/>
        </w:rPr>
        <w:footnoteRef/>
      </w:r>
      <w:r>
        <w:t xml:space="preserve"> </w:t>
      </w:r>
      <w:r>
        <w:rPr>
          <w:lang w:val="en-AU"/>
        </w:rPr>
        <w:t>Ibid, Schedule 1.</w:t>
      </w:r>
    </w:p>
  </w:footnote>
  <w:footnote w:id="7">
    <w:p w14:paraId="6C345C8B" w14:textId="77777777" w:rsidR="007C1139" w:rsidRPr="00606881" w:rsidRDefault="007C1139" w:rsidP="007C1139">
      <w:pPr>
        <w:pStyle w:val="FootnoteText"/>
        <w:rPr>
          <w:lang w:val="en-AU"/>
        </w:rPr>
      </w:pPr>
      <w:r>
        <w:rPr>
          <w:rStyle w:val="FootnoteReference"/>
        </w:rPr>
        <w:footnoteRef/>
      </w:r>
      <w:r>
        <w:t xml:space="preserve"> </w:t>
      </w:r>
      <w:hyperlink r:id="rId4" w:history="1">
        <w:r w:rsidRPr="003572C9">
          <w:rPr>
            <w:rStyle w:val="Hyperlink"/>
          </w:rPr>
          <w:t>https://www.families.qld.gov.au/_media/documents/disability/queensland-government-response-disability-royal-commission.pdf</w:t>
        </w:r>
      </w:hyperlink>
      <w:r>
        <w:t>, page 81.</w:t>
      </w:r>
    </w:p>
  </w:footnote>
  <w:footnote w:id="8">
    <w:p w14:paraId="2FCF2F77" w14:textId="77777777" w:rsidR="007C1139" w:rsidRPr="00D44DDE" w:rsidRDefault="007C1139" w:rsidP="007C1139">
      <w:pPr>
        <w:pStyle w:val="FootnoteText"/>
        <w:rPr>
          <w:lang w:val="en-AU"/>
        </w:rPr>
      </w:pPr>
      <w:r>
        <w:rPr>
          <w:rStyle w:val="FootnoteReference"/>
        </w:rPr>
        <w:footnoteRef/>
      </w:r>
      <w:r>
        <w:t xml:space="preserve"> </w:t>
      </w:r>
      <w:hyperlink r:id="rId5" w:history="1">
        <w:r w:rsidRPr="003572C9">
          <w:rPr>
            <w:rStyle w:val="Hyperlink"/>
          </w:rPr>
          <w:t>https://www.housing.qld.gov.au/initiatives/modern-homes/transitional-arrangements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3021" w14:textId="77777777" w:rsidR="003A4839" w:rsidRDefault="003A4839">
    <w:pPr>
      <w:pStyle w:val="Header"/>
    </w:pPr>
    <w:r>
      <w:rPr>
        <w:noProof/>
      </w:rPr>
      <w:drawing>
        <wp:anchor distT="0" distB="0" distL="114300" distR="114300" simplePos="0" relativeHeight="251658240" behindDoc="1" locked="0" layoutInCell="1" allowOverlap="0" wp14:anchorId="10974935" wp14:editId="16E03F29">
          <wp:simplePos x="0" y="0"/>
          <wp:positionH relativeFrom="page">
            <wp:align>left</wp:align>
          </wp:positionH>
          <wp:positionV relativeFrom="page">
            <wp:align>top</wp:align>
          </wp:positionV>
          <wp:extent cx="7559400" cy="10684798"/>
          <wp:effectExtent l="0" t="0" r="0" b="0"/>
          <wp:wrapNone/>
          <wp:docPr id="21444204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420414"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79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31F5" w14:textId="77777777" w:rsidR="003A4839" w:rsidRDefault="003A4839">
    <w:pPr>
      <w:pStyle w:val="Header"/>
    </w:pPr>
    <w:r>
      <w:rPr>
        <w:noProof/>
      </w:rPr>
      <w:drawing>
        <wp:anchor distT="0" distB="0" distL="114300" distR="114300" simplePos="0" relativeHeight="251658241" behindDoc="1" locked="0" layoutInCell="1" allowOverlap="0" wp14:anchorId="33E3D79F" wp14:editId="46D3AC6D">
          <wp:simplePos x="0" y="0"/>
          <wp:positionH relativeFrom="page">
            <wp:align>left</wp:align>
          </wp:positionH>
          <wp:positionV relativeFrom="page">
            <wp:align>top</wp:align>
          </wp:positionV>
          <wp:extent cx="7559400" cy="10684800"/>
          <wp:effectExtent l="0" t="0" r="0" b="0"/>
          <wp:wrapNone/>
          <wp:docPr id="18150878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087812"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E47"/>
    <w:multiLevelType w:val="multilevel"/>
    <w:tmpl w:val="D70E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9632F"/>
    <w:multiLevelType w:val="hybridMultilevel"/>
    <w:tmpl w:val="9F24B3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812EF2"/>
    <w:multiLevelType w:val="multilevel"/>
    <w:tmpl w:val="6182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BB5249"/>
    <w:multiLevelType w:val="multilevel"/>
    <w:tmpl w:val="20F8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13552D"/>
    <w:multiLevelType w:val="multilevel"/>
    <w:tmpl w:val="B654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522C3B"/>
    <w:multiLevelType w:val="hybridMultilevel"/>
    <w:tmpl w:val="4106F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352E0A"/>
    <w:multiLevelType w:val="hybridMultilevel"/>
    <w:tmpl w:val="054EC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531402"/>
    <w:multiLevelType w:val="multilevel"/>
    <w:tmpl w:val="959C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7485193">
    <w:abstractNumId w:val="5"/>
  </w:num>
  <w:num w:numId="2" w16cid:durableId="1981379369">
    <w:abstractNumId w:val="6"/>
  </w:num>
  <w:num w:numId="3" w16cid:durableId="1755396162">
    <w:abstractNumId w:val="7"/>
  </w:num>
  <w:num w:numId="4" w16cid:durableId="772171223">
    <w:abstractNumId w:val="2"/>
  </w:num>
  <w:num w:numId="5" w16cid:durableId="945499662">
    <w:abstractNumId w:val="3"/>
  </w:num>
  <w:num w:numId="6" w16cid:durableId="166558625">
    <w:abstractNumId w:val="0"/>
  </w:num>
  <w:num w:numId="7" w16cid:durableId="1097099495">
    <w:abstractNumId w:val="4"/>
  </w:num>
  <w:num w:numId="8" w16cid:durableId="408381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C52"/>
    <w:rsid w:val="00027D1A"/>
    <w:rsid w:val="0004274F"/>
    <w:rsid w:val="000A4151"/>
    <w:rsid w:val="000A7774"/>
    <w:rsid w:val="00141124"/>
    <w:rsid w:val="00194BE8"/>
    <w:rsid w:val="00196404"/>
    <w:rsid w:val="001D0F70"/>
    <w:rsid w:val="00286EAC"/>
    <w:rsid w:val="0029391B"/>
    <w:rsid w:val="002C77FC"/>
    <w:rsid w:val="00320FC5"/>
    <w:rsid w:val="003A0AB3"/>
    <w:rsid w:val="003A4839"/>
    <w:rsid w:val="003F66C7"/>
    <w:rsid w:val="004102DB"/>
    <w:rsid w:val="00443DAF"/>
    <w:rsid w:val="004601F1"/>
    <w:rsid w:val="00467BA5"/>
    <w:rsid w:val="0047734C"/>
    <w:rsid w:val="0048584F"/>
    <w:rsid w:val="0049038C"/>
    <w:rsid w:val="004B7788"/>
    <w:rsid w:val="00522ECA"/>
    <w:rsid w:val="005865B9"/>
    <w:rsid w:val="00592B07"/>
    <w:rsid w:val="00614185"/>
    <w:rsid w:val="006363D8"/>
    <w:rsid w:val="006370BF"/>
    <w:rsid w:val="00680C52"/>
    <w:rsid w:val="0068503C"/>
    <w:rsid w:val="00692021"/>
    <w:rsid w:val="00697B47"/>
    <w:rsid w:val="006B6903"/>
    <w:rsid w:val="006B770F"/>
    <w:rsid w:val="006C0127"/>
    <w:rsid w:val="006D4F98"/>
    <w:rsid w:val="006E1ACE"/>
    <w:rsid w:val="007051A9"/>
    <w:rsid w:val="00744350"/>
    <w:rsid w:val="00750919"/>
    <w:rsid w:val="007513F8"/>
    <w:rsid w:val="00761265"/>
    <w:rsid w:val="007B6626"/>
    <w:rsid w:val="007C1139"/>
    <w:rsid w:val="008D3039"/>
    <w:rsid w:val="00934E1B"/>
    <w:rsid w:val="00943641"/>
    <w:rsid w:val="009B72A1"/>
    <w:rsid w:val="009B7A65"/>
    <w:rsid w:val="009C7A5A"/>
    <w:rsid w:val="00A12299"/>
    <w:rsid w:val="00A844A3"/>
    <w:rsid w:val="00A91EFE"/>
    <w:rsid w:val="00AA420D"/>
    <w:rsid w:val="00AE23B7"/>
    <w:rsid w:val="00AF6DF6"/>
    <w:rsid w:val="00B1459E"/>
    <w:rsid w:val="00B14DD7"/>
    <w:rsid w:val="00B47948"/>
    <w:rsid w:val="00BC4FD6"/>
    <w:rsid w:val="00BD2694"/>
    <w:rsid w:val="00C2622E"/>
    <w:rsid w:val="00C8226E"/>
    <w:rsid w:val="00CA69CE"/>
    <w:rsid w:val="00CB7B24"/>
    <w:rsid w:val="00CD2E3A"/>
    <w:rsid w:val="00CE3BF0"/>
    <w:rsid w:val="00D31B75"/>
    <w:rsid w:val="00D77C94"/>
    <w:rsid w:val="00DF533E"/>
    <w:rsid w:val="00E25213"/>
    <w:rsid w:val="00E35650"/>
    <w:rsid w:val="00E54157"/>
    <w:rsid w:val="00E55601"/>
    <w:rsid w:val="00E72406"/>
    <w:rsid w:val="00F840E9"/>
    <w:rsid w:val="00FE5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138E7"/>
  <w14:defaultImageDpi w14:val="32767"/>
  <w15:chartTrackingRefBased/>
  <w15:docId w15:val="{ABD18118-6857-4950-A261-523206A1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80C52"/>
    <w:pPr>
      <w:spacing w:line="360" w:lineRule="auto"/>
    </w:pPr>
    <w:rPr>
      <w:rFonts w:ascii="Nunito" w:eastAsiaTheme="minorEastAsia" w:hAnsi="Nunito"/>
    </w:rPr>
  </w:style>
  <w:style w:type="paragraph" w:styleId="Heading1">
    <w:name w:val="heading 1"/>
    <w:basedOn w:val="Normal"/>
    <w:next w:val="Normal"/>
    <w:link w:val="Heading1Char"/>
    <w:uiPriority w:val="9"/>
    <w:qFormat/>
    <w:rsid w:val="003A4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8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8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8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8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8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8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8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8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8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8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8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8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839"/>
    <w:rPr>
      <w:rFonts w:eastAsiaTheme="majorEastAsia" w:cstheme="majorBidi"/>
      <w:color w:val="272727" w:themeColor="text1" w:themeTint="D8"/>
    </w:rPr>
  </w:style>
  <w:style w:type="paragraph" w:styleId="Title">
    <w:name w:val="Title"/>
    <w:basedOn w:val="Normal"/>
    <w:next w:val="Normal"/>
    <w:link w:val="TitleChar"/>
    <w:uiPriority w:val="10"/>
    <w:qFormat/>
    <w:rsid w:val="003A48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8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8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4839"/>
    <w:rPr>
      <w:i/>
      <w:iCs/>
      <w:color w:val="404040" w:themeColor="text1" w:themeTint="BF"/>
    </w:rPr>
  </w:style>
  <w:style w:type="paragraph" w:styleId="ListParagraph">
    <w:name w:val="List Paragraph"/>
    <w:basedOn w:val="Normal"/>
    <w:uiPriority w:val="34"/>
    <w:qFormat/>
    <w:rsid w:val="003A4839"/>
    <w:pPr>
      <w:ind w:left="720"/>
      <w:contextualSpacing/>
    </w:pPr>
  </w:style>
  <w:style w:type="character" w:styleId="IntenseEmphasis">
    <w:name w:val="Intense Emphasis"/>
    <w:basedOn w:val="DefaultParagraphFont"/>
    <w:uiPriority w:val="21"/>
    <w:qFormat/>
    <w:rsid w:val="003A4839"/>
    <w:rPr>
      <w:i/>
      <w:iCs/>
      <w:color w:val="0F4761" w:themeColor="accent1" w:themeShade="BF"/>
    </w:rPr>
  </w:style>
  <w:style w:type="paragraph" w:styleId="IntenseQuote">
    <w:name w:val="Intense Quote"/>
    <w:basedOn w:val="Normal"/>
    <w:next w:val="Normal"/>
    <w:link w:val="IntenseQuoteChar"/>
    <w:uiPriority w:val="30"/>
    <w:qFormat/>
    <w:rsid w:val="003A4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839"/>
    <w:rPr>
      <w:i/>
      <w:iCs/>
      <w:color w:val="0F4761" w:themeColor="accent1" w:themeShade="BF"/>
    </w:rPr>
  </w:style>
  <w:style w:type="character" w:styleId="IntenseReference">
    <w:name w:val="Intense Reference"/>
    <w:basedOn w:val="DefaultParagraphFont"/>
    <w:uiPriority w:val="32"/>
    <w:qFormat/>
    <w:rsid w:val="003A4839"/>
    <w:rPr>
      <w:b/>
      <w:bCs/>
      <w:smallCaps/>
      <w:color w:val="0F4761" w:themeColor="accent1" w:themeShade="BF"/>
      <w:spacing w:val="5"/>
    </w:rPr>
  </w:style>
  <w:style w:type="paragraph" w:styleId="Header">
    <w:name w:val="header"/>
    <w:basedOn w:val="Normal"/>
    <w:link w:val="HeaderChar"/>
    <w:uiPriority w:val="99"/>
    <w:unhideWhenUsed/>
    <w:rsid w:val="003A4839"/>
    <w:pPr>
      <w:tabs>
        <w:tab w:val="center" w:pos="4680"/>
        <w:tab w:val="right" w:pos="9360"/>
      </w:tabs>
    </w:pPr>
  </w:style>
  <w:style w:type="character" w:customStyle="1" w:styleId="HeaderChar">
    <w:name w:val="Header Char"/>
    <w:basedOn w:val="DefaultParagraphFont"/>
    <w:link w:val="Header"/>
    <w:uiPriority w:val="99"/>
    <w:rsid w:val="003A4839"/>
    <w:rPr>
      <w:rFonts w:eastAsiaTheme="minorEastAsia"/>
    </w:rPr>
  </w:style>
  <w:style w:type="paragraph" w:styleId="Footer">
    <w:name w:val="footer"/>
    <w:basedOn w:val="Normal"/>
    <w:link w:val="FooterChar"/>
    <w:uiPriority w:val="99"/>
    <w:unhideWhenUsed/>
    <w:rsid w:val="003A4839"/>
    <w:pPr>
      <w:tabs>
        <w:tab w:val="center" w:pos="4680"/>
        <w:tab w:val="right" w:pos="9360"/>
      </w:tabs>
    </w:pPr>
  </w:style>
  <w:style w:type="character" w:customStyle="1" w:styleId="FooterChar">
    <w:name w:val="Footer Char"/>
    <w:basedOn w:val="DefaultParagraphFont"/>
    <w:link w:val="Footer"/>
    <w:uiPriority w:val="99"/>
    <w:rsid w:val="003A4839"/>
    <w:rPr>
      <w:rFonts w:eastAsiaTheme="minorEastAsia"/>
    </w:rPr>
  </w:style>
  <w:style w:type="paragraph" w:customStyle="1" w:styleId="QIDANHeading">
    <w:name w:val="QIDAN Heading"/>
    <w:basedOn w:val="Normal"/>
    <w:qFormat/>
    <w:rsid w:val="006363D8"/>
    <w:rPr>
      <w:rFonts w:ascii="Poppins SemiBold" w:hAnsi="Poppins SemiBold"/>
      <w:bCs/>
      <w:color w:val="690048"/>
      <w:sz w:val="48"/>
      <w:szCs w:val="48"/>
      <w:lang w:val="en-AU"/>
    </w:rPr>
  </w:style>
  <w:style w:type="paragraph" w:customStyle="1" w:styleId="QIDANSubheading">
    <w:name w:val="QIDAN Subheading"/>
    <w:basedOn w:val="Normal"/>
    <w:link w:val="QIDANSubheadingChar"/>
    <w:qFormat/>
    <w:rsid w:val="006363D8"/>
    <w:rPr>
      <w:rFonts w:ascii="Nunito Sans" w:hAnsi="Nunito Sans"/>
      <w:b/>
      <w:bCs/>
      <w:color w:val="690048"/>
      <w:sz w:val="28"/>
      <w:lang w:val="en-AU"/>
    </w:rPr>
  </w:style>
  <w:style w:type="paragraph" w:customStyle="1" w:styleId="QIDANParagraph">
    <w:name w:val="QIDAN Paragraph"/>
    <w:basedOn w:val="Normal"/>
    <w:link w:val="QIDANParagraphChar"/>
    <w:qFormat/>
    <w:rsid w:val="00680C52"/>
    <w:rPr>
      <w:rFonts w:ascii="Nunito Sans" w:hAnsi="Nunito Sans"/>
      <w:szCs w:val="20"/>
      <w:lang w:val="en-AU"/>
    </w:rPr>
  </w:style>
  <w:style w:type="character" w:styleId="PageNumber">
    <w:name w:val="page number"/>
    <w:basedOn w:val="DefaultParagraphFont"/>
    <w:uiPriority w:val="99"/>
    <w:semiHidden/>
    <w:unhideWhenUsed/>
    <w:rsid w:val="002C77FC"/>
  </w:style>
  <w:style w:type="character" w:customStyle="1" w:styleId="QIDANParagraphChar">
    <w:name w:val="QIDAN Paragraph Char"/>
    <w:basedOn w:val="DefaultParagraphFont"/>
    <w:link w:val="QIDANParagraph"/>
    <w:rsid w:val="0047734C"/>
    <w:rPr>
      <w:rFonts w:ascii="Nunito Sans" w:eastAsiaTheme="minorEastAsia" w:hAnsi="Nunito Sans"/>
      <w:szCs w:val="20"/>
      <w:lang w:val="en-AU"/>
    </w:rPr>
  </w:style>
  <w:style w:type="paragraph" w:styleId="FootnoteText">
    <w:name w:val="footnote text"/>
    <w:basedOn w:val="Normal"/>
    <w:link w:val="FootnoteTextChar"/>
    <w:uiPriority w:val="99"/>
    <w:semiHidden/>
    <w:unhideWhenUsed/>
    <w:rsid w:val="0047734C"/>
    <w:pPr>
      <w:spacing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47734C"/>
    <w:rPr>
      <w:rFonts w:eastAsiaTheme="minorEastAsia"/>
      <w:sz w:val="20"/>
      <w:szCs w:val="20"/>
    </w:rPr>
  </w:style>
  <w:style w:type="character" w:styleId="FootnoteReference">
    <w:name w:val="footnote reference"/>
    <w:basedOn w:val="DefaultParagraphFont"/>
    <w:uiPriority w:val="99"/>
    <w:semiHidden/>
    <w:unhideWhenUsed/>
    <w:rsid w:val="0047734C"/>
    <w:rPr>
      <w:vertAlign w:val="superscript"/>
    </w:rPr>
  </w:style>
  <w:style w:type="character" w:styleId="Hyperlink">
    <w:name w:val="Hyperlink"/>
    <w:basedOn w:val="DefaultParagraphFont"/>
    <w:uiPriority w:val="99"/>
    <w:unhideWhenUsed/>
    <w:rsid w:val="0047734C"/>
    <w:rPr>
      <w:color w:val="467886" w:themeColor="hyperlink"/>
      <w:u w:val="single"/>
    </w:rPr>
  </w:style>
  <w:style w:type="character" w:customStyle="1" w:styleId="QIDANSubheadingChar">
    <w:name w:val="QIDAN Subheading Char"/>
    <w:basedOn w:val="QIDANParagraphChar"/>
    <w:link w:val="QIDANSubheading"/>
    <w:rsid w:val="009B72A1"/>
    <w:rPr>
      <w:rFonts w:ascii="Nunito Sans" w:eastAsiaTheme="minorEastAsia" w:hAnsi="Nunito Sans"/>
      <w:b/>
      <w:bCs/>
      <w:color w:val="690048"/>
      <w:sz w:val="28"/>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www.legislation.qld.gov.au/view/pdf/inforce/current/act-2008-07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stylemanual.gov.au/content-types/easy-read" TargetMode="External"/><Relationship Id="rId2" Type="http://schemas.openxmlformats.org/officeDocument/2006/relationships/hyperlink" Target="https://www.parliament.qld.gov.au/Work-of-the-Assembly/Tabled-Papers/docs/5724t1621/5724t1621-54b8.pdf" TargetMode="External"/><Relationship Id="rId1" Type="http://schemas.openxmlformats.org/officeDocument/2006/relationships/hyperlink" Target="https://disabilitypathways.org.au/" TargetMode="External"/><Relationship Id="rId5" Type="http://schemas.openxmlformats.org/officeDocument/2006/relationships/hyperlink" Target="https://www.housing.qld.gov.au/initiatives/modern-homes/transitional-arrangements" TargetMode="External"/><Relationship Id="rId4" Type="http://schemas.openxmlformats.org/officeDocument/2006/relationships/hyperlink" Target="https://www.families.qld.gov.au/_media/documents/disability/queensland-government-response-disability-royal-commiss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itlinDeCocqVanDelw\AppData\Local\Microsoft\Windows\INetCache\Content.Outlook\UATP3LJU\QIDAN%20Report%20V2%20(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22eb771-ca73-43f7-ae9a-92fcdf6b2d87" xsi:nil="true"/>
    <_ip_UnifiedCompliancePolicyProperties xmlns="http://schemas.microsoft.com/sharepoint/v3" xsi:nil="true"/>
    <lcf76f155ced4ddcb4097134ff3c332f xmlns="662b4d72-0963-4903-8d1e-908999ea922a">
      <Terms xmlns="http://schemas.microsoft.com/office/infopath/2007/PartnerControls"/>
    </lcf76f155ced4ddcb4097134ff3c332f>
    <Commnet xmlns="662b4d72-0963-4903-8d1e-908999ea92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24B067D30BF2499845ACEC545648F0" ma:contentTypeVersion="21" ma:contentTypeDescription="Create a new document." ma:contentTypeScope="" ma:versionID="11c4a9af2ff00d8db5df1b804a505686">
  <xsd:schema xmlns:xsd="http://www.w3.org/2001/XMLSchema" xmlns:xs="http://www.w3.org/2001/XMLSchema" xmlns:p="http://schemas.microsoft.com/office/2006/metadata/properties" xmlns:ns1="http://schemas.microsoft.com/sharepoint/v3" xmlns:ns2="662b4d72-0963-4903-8d1e-908999ea922a" xmlns:ns3="422eb771-ca73-43f7-ae9a-92fcdf6b2d87" targetNamespace="http://schemas.microsoft.com/office/2006/metadata/properties" ma:root="true" ma:fieldsID="2c844e4e6793c1fe8d6323e2e1dfb7d5" ns1:_="" ns2:_="" ns3:_="">
    <xsd:import namespace="http://schemas.microsoft.com/sharepoint/v3"/>
    <xsd:import namespace="662b4d72-0963-4903-8d1e-908999ea922a"/>
    <xsd:import namespace="422eb771-ca73-43f7-ae9a-92fcdf6b2d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element ref="ns2:MediaServiceLocation" minOccurs="0"/>
                <xsd:element ref="ns2:MediaServiceObjectDetectorVersions" minOccurs="0"/>
                <xsd:element ref="ns2:Commne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b4d72-0963-4903-8d1e-908999ea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ab6623-b492-42e2-a4a2-e207cea2c5e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mmnet" ma:index="27" nillable="true" ma:displayName="Commnet" ma:format="Dropdown" ma:internalName="Commnet">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2eb771-ca73-43f7-ae9a-92fcdf6b2d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9444ad-9253-42c9-be6d-e401742c2274}" ma:internalName="TaxCatchAll" ma:showField="CatchAllData" ma:web="422eb771-ca73-43f7-ae9a-92fcdf6b2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32434-E62A-487D-ABC6-E40AA9BB4E7B}">
  <ds:schemaRefs>
    <ds:schemaRef ds:uri="http://schemas.microsoft.com/sharepoint/v3/contenttype/forms"/>
  </ds:schemaRefs>
</ds:datastoreItem>
</file>

<file path=customXml/itemProps2.xml><?xml version="1.0" encoding="utf-8"?>
<ds:datastoreItem xmlns:ds="http://schemas.openxmlformats.org/officeDocument/2006/customXml" ds:itemID="{3EFFB9D6-3979-44CA-B527-DD635F24C3E2}">
  <ds:schemaRefs>
    <ds:schemaRef ds:uri="http://schemas.microsoft.com/office/2006/metadata/properties"/>
    <ds:schemaRef ds:uri="http://schemas.microsoft.com/office/infopath/2007/PartnerControls"/>
    <ds:schemaRef ds:uri="http://schemas.microsoft.com/sharepoint/v3"/>
    <ds:schemaRef ds:uri="422eb771-ca73-43f7-ae9a-92fcdf6b2d87"/>
    <ds:schemaRef ds:uri="662b4d72-0963-4903-8d1e-908999ea922a"/>
  </ds:schemaRefs>
</ds:datastoreItem>
</file>

<file path=customXml/itemProps3.xml><?xml version="1.0" encoding="utf-8"?>
<ds:datastoreItem xmlns:ds="http://schemas.openxmlformats.org/officeDocument/2006/customXml" ds:itemID="{5ED40016-1A1A-4128-B2AB-49D8655D7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b4d72-0963-4903-8d1e-908999ea922a"/>
    <ds:schemaRef ds:uri="422eb771-ca73-43f7-ae9a-92fcdf6b2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QIDAN Report V2 (003)</Template>
  <TotalTime>0</TotalTime>
  <Pages>10</Pages>
  <Words>2341</Words>
  <Characters>13348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De Cocq Van Delwijnen</dc:creator>
  <cp:keywords/>
  <dc:description/>
  <cp:lastModifiedBy>Russel Correa</cp:lastModifiedBy>
  <cp:revision>2</cp:revision>
  <dcterms:created xsi:type="dcterms:W3CDTF">2025-09-17T06:31:00Z</dcterms:created>
  <dcterms:modified xsi:type="dcterms:W3CDTF">2025-09-17T06:31:00Z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0x0101000724B067D30BF2499845ACEC545648F0</vt:lpwstr>
  </property>
  <property fmtid="{D5CDD505-2E9C-101B-9397-08002B2CF9AE}" pid="3" name="MediaServiceImageTags">
    <vt:lpwstr/>
  </property>
</Properties>
</file>