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F8644" w14:textId="747B8E60" w:rsidR="00EE72BB" w:rsidRPr="00F76E4D" w:rsidRDefault="00FD16A0" w:rsidP="00F76E4D">
      <w:pPr>
        <w:pStyle w:val="Title"/>
      </w:pPr>
      <w:r>
        <w:t xml:space="preserve">Feedback and recommendations </w:t>
      </w:r>
      <w:r w:rsidR="00990A11">
        <w:t>regarding the Office of the Public Guardian</w:t>
      </w:r>
    </w:p>
    <w:p w14:paraId="2C830000" w14:textId="5C156EF9" w:rsidR="0095132F" w:rsidRDefault="0095132F" w:rsidP="00F76E4D">
      <w:pPr>
        <w:pStyle w:val="Subtitle"/>
        <w:spacing w:after="0"/>
      </w:pPr>
      <w:r>
        <w:t xml:space="preserve">Submission by </w:t>
      </w:r>
      <w:r w:rsidR="00740A55">
        <w:t>the</w:t>
      </w:r>
    </w:p>
    <w:p w14:paraId="44BBEFFD" w14:textId="4BA6BCE0" w:rsidR="00F2271B" w:rsidRPr="00D24EB3" w:rsidRDefault="005B7843" w:rsidP="00F76E4D">
      <w:pPr>
        <w:pStyle w:val="Subtitle"/>
        <w:rPr>
          <w:szCs w:val="56"/>
        </w:rPr>
      </w:pPr>
      <w:r w:rsidRPr="0095132F">
        <w:t>Queensland Independent Disability Advocacy Network (QIDAN)</w:t>
      </w:r>
    </w:p>
    <w:p w14:paraId="5E362F9C" w14:textId="2ACA2A5A" w:rsidR="00B83BD8" w:rsidRPr="001C64E7" w:rsidRDefault="00990A11" w:rsidP="001C64E7">
      <w:pPr>
        <w:spacing w:after="0"/>
        <w:rPr>
          <w:sz w:val="40"/>
          <w:szCs w:val="40"/>
        </w:rPr>
      </w:pPr>
      <w:r>
        <w:rPr>
          <w:sz w:val="40"/>
          <w:szCs w:val="40"/>
        </w:rPr>
        <w:t>Department of Child Safety, Seniors and Disability Services (DCSSDS)</w:t>
      </w:r>
    </w:p>
    <w:p w14:paraId="71D22DB0" w14:textId="1D100F85" w:rsidR="004D3DF7" w:rsidRDefault="00990A11" w:rsidP="00E0513B">
      <w:pPr>
        <w:spacing w:after="0"/>
        <w:rPr>
          <w:sz w:val="40"/>
          <w:szCs w:val="40"/>
        </w:rPr>
        <w:sectPr w:rsidR="004D3DF7" w:rsidSect="004D3DF7">
          <w:headerReference w:type="default" r:id="rId11"/>
          <w:footerReference w:type="default" r:id="rId12"/>
          <w:pgSz w:w="12240" w:h="15840" w:code="1"/>
          <w:pgMar w:top="1440" w:right="1440" w:bottom="1440" w:left="1440" w:header="720" w:footer="6" w:gutter="0"/>
          <w:pgNumType w:start="1"/>
          <w:cols w:space="720"/>
          <w:vAlign w:val="center"/>
          <w:docGrid w:linePitch="360"/>
        </w:sectPr>
      </w:pPr>
      <w:r>
        <w:rPr>
          <w:sz w:val="40"/>
          <w:szCs w:val="40"/>
        </w:rPr>
        <w:t>01 September 2023</w:t>
      </w:r>
    </w:p>
    <w:p w14:paraId="3F85F412" w14:textId="0640EC17" w:rsidR="003E3D71" w:rsidRDefault="00990A11" w:rsidP="00C957AE">
      <w:pPr>
        <w:pStyle w:val="Heading1"/>
        <w:numPr>
          <w:ilvl w:val="0"/>
          <w:numId w:val="0"/>
        </w:numPr>
        <w:ind w:left="360" w:hanging="360"/>
      </w:pPr>
      <w:r>
        <w:lastRenderedPageBreak/>
        <w:t>Introduction</w:t>
      </w:r>
    </w:p>
    <w:p w14:paraId="7195BEE1" w14:textId="532B645F" w:rsidR="009D0ACD" w:rsidRDefault="009D0ACD" w:rsidP="00F4451D">
      <w:r w:rsidRPr="009D0ACD">
        <w:t xml:space="preserve">The Queensland Independent Disability Advocacy Network (QIDAN) thanks the Department of Child Safety, Seniors and Disability Services </w:t>
      </w:r>
      <w:r w:rsidR="007B7BFD">
        <w:t xml:space="preserve">(DCSSDS) </w:t>
      </w:r>
      <w:r w:rsidRPr="009D0ACD">
        <w:t xml:space="preserve">for the opportunity to escalate feedback and provide recommendations regarding the Office of the Public Guardian (OPG). As disability advocates supporting people with disability and their families, we have identified a prevalence of ongoing issues with the OPG. </w:t>
      </w:r>
    </w:p>
    <w:p w14:paraId="168F93E0" w14:textId="1C64C7E3" w:rsidR="009D0ACD" w:rsidRPr="009D0ACD" w:rsidRDefault="009D0ACD" w:rsidP="00F4451D">
      <w:r w:rsidRPr="009D0ACD">
        <w:t xml:space="preserve">In previous QDAP reporting ‘Guardianship and Administration’ </w:t>
      </w:r>
      <w:r w:rsidR="007B7BFD" w:rsidRPr="009D0ACD">
        <w:t>was</w:t>
      </w:r>
      <w:r w:rsidRPr="009D0ACD">
        <w:t xml:space="preserve"> not recorded as a problem type therefore, we do not currently hold data on the prevalence of these types of issues that advocates are assisting with. As of July 2023, the QDAP reporting template has been updated to capture ‘Guardianship and Administration’ as a primary problem type. </w:t>
      </w:r>
      <w:r w:rsidR="007B0C72">
        <w:t>However</w:t>
      </w:r>
      <w:r w:rsidRPr="009D0ACD">
        <w:t xml:space="preserve">, the issue that an individual is seeking advocacy for may not be in the first instance with ‘Guardianship or Administration’ but rather a NDIS, health, housing </w:t>
      </w:r>
      <w:r w:rsidR="007B0C72" w:rsidRPr="009D0ACD">
        <w:t>etc.</w:t>
      </w:r>
      <w:r w:rsidRPr="009D0ACD">
        <w:t xml:space="preserve">, therefore these matters would not be recorded in this way. </w:t>
      </w:r>
    </w:p>
    <w:p w14:paraId="1D28A69C" w14:textId="77777777" w:rsidR="009D0ACD" w:rsidRPr="009D0ACD" w:rsidRDefault="009D0ACD" w:rsidP="00F4451D">
      <w:r w:rsidRPr="009D0ACD">
        <w:t xml:space="preserve">Our report provides feedback, case studies and recommendations on these issues with the hope that we can raise awareness of the challenges and barriers faced by individuals who have engaged with the OPG. </w:t>
      </w:r>
    </w:p>
    <w:p w14:paraId="62A71A53" w14:textId="77777777" w:rsidR="005657F6" w:rsidRDefault="005657F6" w:rsidP="00E0513B">
      <w:pPr>
        <w:spacing w:after="0"/>
        <w:rPr>
          <w:b/>
          <w:bCs/>
        </w:rPr>
      </w:pPr>
    </w:p>
    <w:p w14:paraId="727D58D1" w14:textId="0AF743AE" w:rsidR="005657F6" w:rsidRDefault="005657F6" w:rsidP="00C957AE">
      <w:pPr>
        <w:pStyle w:val="Heading1"/>
        <w:numPr>
          <w:ilvl w:val="0"/>
          <w:numId w:val="0"/>
        </w:numPr>
        <w:ind w:left="360" w:hanging="360"/>
      </w:pPr>
      <w:r w:rsidRPr="00AD3EE5">
        <w:t>QIDAN’s recommendations</w:t>
      </w:r>
    </w:p>
    <w:tbl>
      <w:tblPr>
        <w:tblStyle w:val="TableGrid"/>
        <w:tblW w:w="0" w:type="auto"/>
        <w:tblLook w:val="04A0" w:firstRow="1" w:lastRow="0" w:firstColumn="1" w:lastColumn="0" w:noHBand="0" w:noVBand="1"/>
      </w:tblPr>
      <w:tblGrid>
        <w:gridCol w:w="9350"/>
      </w:tblGrid>
      <w:tr w:rsidR="00CD02A4" w14:paraId="257E0EE4" w14:textId="77777777" w:rsidTr="00CD02A4">
        <w:tc>
          <w:tcPr>
            <w:tcW w:w="9350" w:type="dxa"/>
          </w:tcPr>
          <w:p w14:paraId="7E61B688" w14:textId="05A46FE1" w:rsidR="00635B64" w:rsidRDefault="00635B64" w:rsidP="00D40C18">
            <w:pPr>
              <w:pStyle w:val="ListParagraph"/>
              <w:numPr>
                <w:ilvl w:val="0"/>
                <w:numId w:val="12"/>
              </w:numPr>
              <w:spacing w:line="276" w:lineRule="auto"/>
            </w:pPr>
            <w:r w:rsidRPr="008C0127">
              <w:t xml:space="preserve">Guardians should cultivate proactive and inclusive relationships with the individuals they are responsible for, while also embracing and implementing an effective supported decision-making framework. </w:t>
            </w:r>
          </w:p>
          <w:p w14:paraId="360B2625" w14:textId="77777777" w:rsidR="00635B64" w:rsidRDefault="00635B64" w:rsidP="00D40C18">
            <w:pPr>
              <w:pStyle w:val="ListParagraph"/>
              <w:numPr>
                <w:ilvl w:val="0"/>
                <w:numId w:val="12"/>
              </w:numPr>
              <w:spacing w:line="276" w:lineRule="auto"/>
            </w:pPr>
            <w:r w:rsidRPr="008C0127">
              <w:t xml:space="preserve">The OPG should </w:t>
            </w:r>
            <w:proofErr w:type="spellStart"/>
            <w:r w:rsidRPr="008C0127">
              <w:t>prioritise</w:t>
            </w:r>
            <w:proofErr w:type="spellEnd"/>
            <w:r w:rsidRPr="008C0127">
              <w:t xml:space="preserve"> the prompt and transparent provision of information regarding the extent of their authority and their interactions with the individual, including sharing relevant </w:t>
            </w:r>
            <w:proofErr w:type="spellStart"/>
            <w:r w:rsidRPr="008C0127">
              <w:t>personalised</w:t>
            </w:r>
            <w:proofErr w:type="spellEnd"/>
            <w:r w:rsidRPr="008C0127">
              <w:t xml:space="preserve"> contact details. </w:t>
            </w:r>
          </w:p>
          <w:p w14:paraId="4ED8656C" w14:textId="77777777" w:rsidR="00635B64" w:rsidRDefault="00635B64" w:rsidP="00D40C18">
            <w:pPr>
              <w:pStyle w:val="ListParagraph"/>
              <w:numPr>
                <w:ilvl w:val="0"/>
                <w:numId w:val="12"/>
              </w:numPr>
              <w:spacing w:line="276" w:lineRule="auto"/>
            </w:pPr>
            <w:r w:rsidRPr="008C0127">
              <w:t>The OPG should establish robust strategies aimed at expediting the decision-making processes, thereby preventing any adverse effects on individuals under their guardianship.</w:t>
            </w:r>
          </w:p>
          <w:p w14:paraId="6231FA2F" w14:textId="77777777" w:rsidR="00635B64" w:rsidRDefault="00635B64" w:rsidP="00D40C18">
            <w:pPr>
              <w:pStyle w:val="ListParagraph"/>
              <w:numPr>
                <w:ilvl w:val="0"/>
                <w:numId w:val="12"/>
              </w:numPr>
              <w:spacing w:line="276" w:lineRule="auto"/>
            </w:pPr>
            <w:r w:rsidRPr="008C0127">
              <w:t xml:space="preserve">The OPG should ensure accountability and independence from service provision and other governmental entities. Additionally, the OPG should offer clear transparency regarding any co-located services, outline the roles, maintain confidentiality, and specifying protocols for information sharing. </w:t>
            </w:r>
          </w:p>
          <w:p w14:paraId="33A39453" w14:textId="589D4B08" w:rsidR="00CD02A4" w:rsidRDefault="00635B64" w:rsidP="00D40C18">
            <w:pPr>
              <w:pStyle w:val="ListParagraph"/>
              <w:numPr>
                <w:ilvl w:val="0"/>
                <w:numId w:val="12"/>
              </w:numPr>
              <w:spacing w:line="276" w:lineRule="auto"/>
            </w:pPr>
            <w:r w:rsidRPr="008C0127">
              <w:t>The OPG should collaborate with QIDAN to develop a memorandum of understanding that establishes a strategic framework for cooperation. This document should outline the individual’s rights to access disability advocacy services, roles, responsibilities, and expectations of both parties including escalation pathways.</w:t>
            </w:r>
          </w:p>
        </w:tc>
      </w:tr>
    </w:tbl>
    <w:p w14:paraId="070D25AC" w14:textId="5F83CD43" w:rsidR="005657F6" w:rsidRPr="00AD3EE5" w:rsidRDefault="005D1C32" w:rsidP="00C957AE">
      <w:pPr>
        <w:pStyle w:val="Heading1"/>
      </w:pPr>
      <w:r>
        <w:lastRenderedPageBreak/>
        <w:t xml:space="preserve">Office of the Public Guardian </w:t>
      </w:r>
    </w:p>
    <w:p w14:paraId="1CB04EB8" w14:textId="77777777" w:rsidR="00133A8F" w:rsidRDefault="00970411" w:rsidP="00133A8F">
      <w:pPr>
        <w:pStyle w:val="ListParagraph"/>
        <w:numPr>
          <w:ilvl w:val="1"/>
          <w:numId w:val="14"/>
        </w:numPr>
      </w:pPr>
      <w:r w:rsidRPr="00133A8F">
        <w:t xml:space="preserve">Individuals with the OPG appointed as their guardian have advised that they have never met with their guardians face-to-face and overall, they have had little interaction with the guardian. </w:t>
      </w:r>
    </w:p>
    <w:p w14:paraId="526FC980" w14:textId="77777777" w:rsidR="00133A8F" w:rsidRDefault="00970411" w:rsidP="00133A8F">
      <w:pPr>
        <w:pStyle w:val="ListParagraph"/>
        <w:numPr>
          <w:ilvl w:val="1"/>
          <w:numId w:val="14"/>
        </w:numPr>
      </w:pPr>
      <w:r w:rsidRPr="00133A8F">
        <w:t xml:space="preserve">Individuals have experienced repeated changes to the delegated guardian, with reports of individuals having up to six different guardians. </w:t>
      </w:r>
    </w:p>
    <w:p w14:paraId="5479A3A0" w14:textId="77777777" w:rsidR="00133A8F" w:rsidRDefault="00970411" w:rsidP="00133A8F">
      <w:pPr>
        <w:pStyle w:val="ListParagraph"/>
        <w:numPr>
          <w:ilvl w:val="1"/>
          <w:numId w:val="14"/>
        </w:numPr>
      </w:pPr>
      <w:r w:rsidRPr="00133A8F">
        <w:t xml:space="preserve">Advocates have learned of guardians sharing office spaces with mental health workers in public hospitals. There have also been reports of guardians discussing decisions about a person under guardianship with hospital staff. Advocates have concerns about the independence and confidentiality of these guardians. </w:t>
      </w:r>
    </w:p>
    <w:p w14:paraId="5B0F6AB0" w14:textId="77777777" w:rsidR="00133A8F" w:rsidRDefault="00970411" w:rsidP="00133A8F">
      <w:pPr>
        <w:pStyle w:val="ListParagraph"/>
        <w:numPr>
          <w:ilvl w:val="1"/>
          <w:numId w:val="14"/>
        </w:numPr>
      </w:pPr>
      <w:r w:rsidRPr="00133A8F">
        <w:t>There is reportedly a one-year waitlist for OPG investigations into abuse, neglect, and exploitation. There have been instances where the OPG has recommended that advocates raise allegations with QCAT rather than the OPG. When this has occurred, advocates have reported difficulties in obtaining updates from guardians about how they are adhering to tribunal recommendations.</w:t>
      </w:r>
    </w:p>
    <w:p w14:paraId="118DC79A" w14:textId="77777777" w:rsidR="00133A8F" w:rsidRDefault="00970411" w:rsidP="00133A8F">
      <w:pPr>
        <w:pStyle w:val="ListParagraph"/>
        <w:numPr>
          <w:ilvl w:val="1"/>
          <w:numId w:val="14"/>
        </w:numPr>
      </w:pPr>
      <w:r w:rsidRPr="00133A8F">
        <w:t xml:space="preserve">Advocates have worked with clients subjected to </w:t>
      </w:r>
      <w:proofErr w:type="spellStart"/>
      <w:r w:rsidRPr="00133A8F">
        <w:t>unauthorised</w:t>
      </w:r>
      <w:proofErr w:type="spellEnd"/>
      <w:r w:rsidRPr="00133A8F">
        <w:t xml:space="preserve"> restrictive practices whilst under guardianship, where the appointed guardian has been aware of their use but have not actually investigated or challenged the practices.</w:t>
      </w:r>
    </w:p>
    <w:p w14:paraId="2AE21FEA" w14:textId="77777777" w:rsidR="00133A8F" w:rsidRDefault="00970411" w:rsidP="00133A8F">
      <w:pPr>
        <w:pStyle w:val="ListParagraph"/>
        <w:numPr>
          <w:ilvl w:val="1"/>
          <w:numId w:val="14"/>
        </w:numPr>
      </w:pPr>
      <w:r w:rsidRPr="00133A8F">
        <w:t xml:space="preserve">Advocates have received reports of guardians approving inappropriate accommodation, including SIL arrangements, for individuals under guardianship. For instance, one individual was moved away from their family to a shed that had been modified into a studio unit without a designated bathroom. The individual did not have a bedroom, and their bed was set up in the living area. The unit was not adequately weather resistant and provided little space and privacy for the individual.  </w:t>
      </w:r>
    </w:p>
    <w:p w14:paraId="49161014" w14:textId="5F0E53CA" w:rsidR="00970411" w:rsidRDefault="00970411" w:rsidP="00133A8F">
      <w:pPr>
        <w:pStyle w:val="ListParagraph"/>
        <w:numPr>
          <w:ilvl w:val="1"/>
          <w:numId w:val="14"/>
        </w:numPr>
      </w:pPr>
      <w:r w:rsidRPr="00133A8F">
        <w:t xml:space="preserve">Individuals under guardianship of the OPG and their families have described feeling unsupported by guardians, and </w:t>
      </w:r>
      <w:r w:rsidR="0071C952">
        <w:t xml:space="preserve">there are </w:t>
      </w:r>
      <w:r w:rsidRPr="00133A8F">
        <w:t xml:space="preserve">reported instances where the guardian </w:t>
      </w:r>
      <w:r w:rsidR="121C686A">
        <w:t>appears to have</w:t>
      </w:r>
      <w:r w:rsidRPr="00133A8F">
        <w:t xml:space="preserve"> taken the side of the service provider over the person under guardianship. For example, </w:t>
      </w:r>
      <w:r>
        <w:t>an</w:t>
      </w:r>
      <w:r w:rsidRPr="00133A8F">
        <w:t xml:space="preserve"> individual reported to their guardian that they were assaulted by a support worker, but the claim was dismissed by the guardian without any investigation process or follow up. </w:t>
      </w:r>
    </w:p>
    <w:p w14:paraId="7102E493" w14:textId="2460D0F8" w:rsidR="005F18A4" w:rsidRPr="00133A8F" w:rsidRDefault="005F18A4" w:rsidP="005F18A4"/>
    <w:p w14:paraId="5DC82D96" w14:textId="76F8CE92" w:rsidR="00C44C90" w:rsidRDefault="00125F2E" w:rsidP="00C957AE">
      <w:pPr>
        <w:pStyle w:val="Heading1"/>
      </w:pPr>
      <w:r>
        <w:t xml:space="preserve">Decision making </w:t>
      </w:r>
    </w:p>
    <w:p w14:paraId="73107A99" w14:textId="49C395DC" w:rsidR="00C44C90" w:rsidRDefault="00C44C90" w:rsidP="00425105">
      <w:pPr>
        <w:pStyle w:val="ListParagraph"/>
        <w:numPr>
          <w:ilvl w:val="1"/>
          <w:numId w:val="16"/>
        </w:numPr>
      </w:pPr>
      <w:r>
        <w:t>Advocates have observed guardians not considering or supporting the will and preferences of people under guardianship. For example, an individual expressed to their guardian that they did not wish to continue engaging with a particular support coordinator. The guardian ignored the individual’s wishes and continued to sign a new service agreement with the support coordinator.</w:t>
      </w:r>
    </w:p>
    <w:p w14:paraId="7B779D8F" w14:textId="77777777" w:rsidR="00425105" w:rsidRDefault="00C44C90" w:rsidP="00425105">
      <w:pPr>
        <w:pStyle w:val="ListParagraph"/>
        <w:numPr>
          <w:ilvl w:val="1"/>
          <w:numId w:val="16"/>
        </w:numPr>
      </w:pPr>
      <w:r>
        <w:lastRenderedPageBreak/>
        <w:t xml:space="preserve">Advocates have observed guardians taking significantly long periods to make crucial decisions on behalf of the individuals under their guardianship. </w:t>
      </w:r>
    </w:p>
    <w:p w14:paraId="488A2103" w14:textId="77777777" w:rsidR="00425105" w:rsidRDefault="00C44C90" w:rsidP="00425105">
      <w:pPr>
        <w:pStyle w:val="ListParagraph"/>
        <w:numPr>
          <w:ilvl w:val="1"/>
          <w:numId w:val="16"/>
        </w:numPr>
      </w:pPr>
      <w:r>
        <w:t xml:space="preserve">Advocates have observed ongoing issues around decision-making during the transition period that occurs when a new guardian is appointed. For instance, an advocate was working with a client who wanted to relocate to an aged care facility closer to their family. The aged care facility had limited rooms available, and an advocate helped to secure a room for the client. The client required a guardian to approve the move. However, the guardian was in the process of changing, and no one was available to make the decision. A decision was not received in time, and the room was taken by another person. </w:t>
      </w:r>
    </w:p>
    <w:p w14:paraId="5C47727C" w14:textId="77777777" w:rsidR="00425105" w:rsidRDefault="00C44C90" w:rsidP="00425105">
      <w:pPr>
        <w:pStyle w:val="ListParagraph"/>
        <w:numPr>
          <w:ilvl w:val="1"/>
          <w:numId w:val="16"/>
        </w:numPr>
      </w:pPr>
      <w:r>
        <w:t xml:space="preserve">Advocates report guardians’ neglecting to clearly define the roles and responsibilities of service providers, particularly around decision making. For instance, a guardian was aware that an individual under their guardianship was prohibited by the service provider from seeing their family. The decision to restrict contact with the family was made by the individual’s service provider, not the individual or their guardian. </w:t>
      </w:r>
    </w:p>
    <w:p w14:paraId="001B1669" w14:textId="507965E9" w:rsidR="00C44C90" w:rsidRDefault="00C44C90" w:rsidP="00425105">
      <w:pPr>
        <w:pStyle w:val="ListParagraph"/>
        <w:numPr>
          <w:ilvl w:val="1"/>
          <w:numId w:val="16"/>
        </w:numPr>
      </w:pPr>
      <w:r>
        <w:t xml:space="preserve">Advocates have been informed by Guardians that their role is limited to decision-making and does not encompass assisting individuals in exploring options like housing or support services. Consequently, in cases were individuals do lack advocacy support, this stance has led to a situation where they are hindered from making necessary life changes, as their need for support decision-making remains unmet. </w:t>
      </w:r>
    </w:p>
    <w:p w14:paraId="56AA21E8" w14:textId="77777777" w:rsidR="009332C2" w:rsidRPr="008F372D" w:rsidRDefault="009332C2" w:rsidP="00E0513B">
      <w:pPr>
        <w:spacing w:after="0"/>
      </w:pPr>
    </w:p>
    <w:p w14:paraId="6704643D" w14:textId="26C37128" w:rsidR="0038266C" w:rsidRDefault="005F18A4" w:rsidP="00C957AE">
      <w:pPr>
        <w:pStyle w:val="Heading1"/>
      </w:pPr>
      <w:r>
        <w:t xml:space="preserve">OPG and disability advocates </w:t>
      </w:r>
    </w:p>
    <w:p w14:paraId="7DBE66D1" w14:textId="1C66716A" w:rsidR="00E63998" w:rsidRDefault="00E63998" w:rsidP="00E63998">
      <w:pPr>
        <w:pStyle w:val="ListParagraph"/>
        <w:numPr>
          <w:ilvl w:val="1"/>
          <w:numId w:val="17"/>
        </w:numPr>
      </w:pPr>
      <w:r w:rsidRPr="00516E0A">
        <w:t>Individuals have often reported that they do not perceive the OPG to be independen</w:t>
      </w:r>
      <w:r>
        <w:t>t of their service providers</w:t>
      </w:r>
      <w:r w:rsidRPr="00516E0A">
        <w:t xml:space="preserve">, so the role of independent disability advocacy is essential. </w:t>
      </w:r>
    </w:p>
    <w:p w14:paraId="0C7B6680" w14:textId="77777777" w:rsidR="00E63998" w:rsidRDefault="00E63998" w:rsidP="00E63998">
      <w:pPr>
        <w:pStyle w:val="ListParagraph"/>
        <w:numPr>
          <w:ilvl w:val="1"/>
          <w:numId w:val="17"/>
        </w:numPr>
      </w:pPr>
      <w:r w:rsidRPr="00516E0A">
        <w:t>Advocates report instances where guardians have not allowed a person under guardianship to engage with independent advocacy services.</w:t>
      </w:r>
    </w:p>
    <w:p w14:paraId="7517F8AA" w14:textId="1D50CC28" w:rsidR="00E63998" w:rsidRDefault="00E63998" w:rsidP="00E63998">
      <w:pPr>
        <w:pStyle w:val="ListParagraph"/>
        <w:numPr>
          <w:ilvl w:val="1"/>
          <w:numId w:val="17"/>
        </w:numPr>
      </w:pPr>
      <w:r w:rsidRPr="00516E0A">
        <w:t>There have been various instances where guardians have</w:t>
      </w:r>
      <w:r>
        <w:t xml:space="preserve"> misunderstood the role of disability advocacy</w:t>
      </w:r>
      <w:r w:rsidRPr="00516E0A">
        <w:t xml:space="preserve"> </w:t>
      </w:r>
      <w:r>
        <w:t>and</w:t>
      </w:r>
      <w:r w:rsidRPr="00516E0A">
        <w:t xml:space="preserve"> insisted that advocates require consent </w:t>
      </w:r>
      <w:r>
        <w:t xml:space="preserve">from the guardian </w:t>
      </w:r>
      <w:r w:rsidRPr="00516E0A">
        <w:t xml:space="preserve">to speak with stakeholders. Furthermore, there are many examples where this consent has not been provided, and all communication with stakeholders has been </w:t>
      </w:r>
      <w:r w:rsidR="063DF21B">
        <w:t>channeled</w:t>
      </w:r>
      <w:r w:rsidRPr="00516E0A">
        <w:t xml:space="preserve"> through the guardian. Often, the guardian can take several days to relay information and messages, delaying the advocacy process significantly. </w:t>
      </w:r>
    </w:p>
    <w:p w14:paraId="33AB8C7E" w14:textId="77777777" w:rsidR="00E63998" w:rsidRPr="00804626" w:rsidRDefault="00E63998" w:rsidP="00E63998">
      <w:pPr>
        <w:pStyle w:val="ListParagraph"/>
        <w:numPr>
          <w:ilvl w:val="1"/>
          <w:numId w:val="17"/>
        </w:numPr>
      </w:pPr>
      <w:r w:rsidRPr="00516E0A">
        <w:t>Advocates report instances where relationships with guardians are worsened after the advocate has challenged a guardian’s decision.</w:t>
      </w:r>
    </w:p>
    <w:p w14:paraId="3668E457" w14:textId="77777777" w:rsidR="007808D6" w:rsidRDefault="007808D6" w:rsidP="008C66BB">
      <w:pPr>
        <w:spacing w:after="0"/>
      </w:pPr>
    </w:p>
    <w:p w14:paraId="68E3608D" w14:textId="77777777" w:rsidR="00DF20A3" w:rsidRDefault="00DF20A3" w:rsidP="008C66BB">
      <w:pPr>
        <w:spacing w:after="0"/>
      </w:pPr>
    </w:p>
    <w:p w14:paraId="5FB2C590" w14:textId="77777777" w:rsidR="00DF20A3" w:rsidRDefault="00DF20A3" w:rsidP="008C66BB">
      <w:pPr>
        <w:spacing w:after="0"/>
      </w:pPr>
    </w:p>
    <w:p w14:paraId="2D1248B4" w14:textId="77777777" w:rsidR="00DF20A3" w:rsidRPr="008C66BB" w:rsidRDefault="00DF20A3" w:rsidP="008C66BB">
      <w:pPr>
        <w:spacing w:after="0"/>
      </w:pPr>
    </w:p>
    <w:p w14:paraId="0F9976D9" w14:textId="5E296431" w:rsidR="0038266C" w:rsidRPr="00247829" w:rsidRDefault="00C726AC" w:rsidP="00C957AE">
      <w:pPr>
        <w:pStyle w:val="Heading1"/>
      </w:pPr>
      <w:r>
        <w:lastRenderedPageBreak/>
        <w:t xml:space="preserve">Case studies </w:t>
      </w:r>
    </w:p>
    <w:p w14:paraId="697ED303" w14:textId="77777777" w:rsidR="0012172C" w:rsidRPr="0012172C" w:rsidRDefault="0012172C" w:rsidP="0012172C">
      <w:pPr>
        <w:rPr>
          <w:b/>
          <w:bCs/>
        </w:rPr>
      </w:pPr>
      <w:r w:rsidRPr="0012172C">
        <w:rPr>
          <w:b/>
          <w:bCs/>
        </w:rPr>
        <w:t>Case Study provided by Independent Advocacy in the Tropics</w:t>
      </w:r>
    </w:p>
    <w:p w14:paraId="41721460" w14:textId="19C1B6E0" w:rsidR="0012172C" w:rsidRPr="0012172C" w:rsidRDefault="0012172C" w:rsidP="0012172C">
      <w:r w:rsidRPr="0012172C">
        <w:t xml:space="preserve">Tiana* is a woman living with intellectual disability and autism spectrum disorder who requires 24/7 care. In 2020, QCAT appointed the OPG as Tiana’s guardian, and Tiana was placed with two separate guardians between 2020 and 2021. During this period, Tiana was hospitalised twice and experienced health issues like reoccurring urinary tract infections, severe constipation, significant weight loss, significant dental injuries, and malnutrition. Tiana continues to live with the </w:t>
      </w:r>
      <w:r w:rsidR="5839975B">
        <w:t>aftereffects</w:t>
      </w:r>
      <w:r w:rsidRPr="0012172C">
        <w:t xml:space="preserve"> of these health issues today. </w:t>
      </w:r>
    </w:p>
    <w:p w14:paraId="50846B22" w14:textId="77777777" w:rsidR="0012172C" w:rsidRPr="0012172C" w:rsidRDefault="0012172C" w:rsidP="0012172C">
      <w:r w:rsidRPr="0012172C">
        <w:t>Guardian #1</w:t>
      </w:r>
    </w:p>
    <w:p w14:paraId="030EE367" w14:textId="3B2A9317" w:rsidR="0012172C" w:rsidRPr="0012172C" w:rsidRDefault="0012172C" w:rsidP="0012172C">
      <w:r w:rsidRPr="0012172C">
        <w:t xml:space="preserve">Tiana’s first guardian was </w:t>
      </w:r>
      <w:r w:rsidR="4AC53B8E">
        <w:t>delegated</w:t>
      </w:r>
      <w:r w:rsidRPr="0012172C">
        <w:t xml:space="preserve"> for two months in late 2020. It is reported that the guardian had a poor understanding of his role and was confused about whether the OPG was appointed to make decisions for Tiana’s health issues. As a result of the confusion, Tiana suffered greatly. For instance, Tiana experienced significant tooth pain, requiring dental services. The first guardian did not support Tiana to access dental services, and Tiana was placed on a waitlist in the public health system. Tiana waited over two years for a dental appointment after this, where it was discovered that she had a broken tooth and an abscess in her mouth. In another instance, Tiana missed her regular De Provera injection because the first guardian failed to provide her doctor with permission to administer the injection. </w:t>
      </w:r>
    </w:p>
    <w:p w14:paraId="6D36970B" w14:textId="77777777" w:rsidR="0012172C" w:rsidRPr="0012172C" w:rsidRDefault="0012172C" w:rsidP="0012172C">
      <w:r w:rsidRPr="0012172C">
        <w:t>Tiana’s family repeatedly advised the first guardian that they were having trouble contacting her. The first guardian did not investigate the issue, nor did he respond to the concerned family members. Also, during this time, the first guardian moved Tiana away from her hometown without consulting or notifying her or her family. This was the first of many times that Tiana was separated from her family by the OPG.</w:t>
      </w:r>
    </w:p>
    <w:p w14:paraId="624D7CC7" w14:textId="77777777" w:rsidR="0012172C" w:rsidRPr="0012172C" w:rsidRDefault="0012172C" w:rsidP="0012172C">
      <w:r w:rsidRPr="0012172C">
        <w:t>Guardian #2</w:t>
      </w:r>
    </w:p>
    <w:p w14:paraId="51B8D1E8" w14:textId="162ABF8D" w:rsidR="0012172C" w:rsidRPr="0012172C" w:rsidRDefault="0012172C" w:rsidP="0012172C">
      <w:r w:rsidRPr="0012172C">
        <w:t xml:space="preserve">Tiana’s second guardian was </w:t>
      </w:r>
      <w:r w:rsidR="28DDB029">
        <w:t>delegated</w:t>
      </w:r>
      <w:r w:rsidRPr="0012172C">
        <w:t xml:space="preserve"> for one year between 2020 and 2021. At the time, Tiana lived in NDIS Supported Independent Living (SIL) accommodation. The relationship between Tiana’s SIL provider and specialist support coordinator was fraught with issues, and eventually the relationship deteriorated entirely. The relationship breakdown led to nonpayment of bills, rent and groceries for Tiana. The problems between the two parties and the subsequent consequences were known to the second guardian, who failed to address the issues. </w:t>
      </w:r>
    </w:p>
    <w:p w14:paraId="3A599589" w14:textId="77777777" w:rsidR="0012172C" w:rsidRPr="0012172C" w:rsidRDefault="0012172C" w:rsidP="0012172C">
      <w:r w:rsidRPr="0012172C">
        <w:t xml:space="preserve">Whilst under the guardianship of the second guardian, Tiana suffered various health problems related to the poor support she received from her SIL provider. The second guardian only began investigating the health issues after Tiana’s family informed the guardian that she had rapidly lost 15kg. In this period, Tiana was hospitalised twice. Her family was not notified of the hospitalisations. Additionally, Tiana was prescribed sleeping medication because she could not sleep due to the pain caused by her dental issues. The sleeping medication was highly addictive </w:t>
      </w:r>
      <w:r w:rsidRPr="0012172C">
        <w:lastRenderedPageBreak/>
        <w:t>and made her unsteady on her feet. The second guardian was aware of the problems she experienced with the medication and the reason why it was prescribed. </w:t>
      </w:r>
    </w:p>
    <w:p w14:paraId="19CA83F6" w14:textId="77777777" w:rsidR="0012172C" w:rsidRPr="0012172C" w:rsidRDefault="0012172C" w:rsidP="0012172C">
      <w:r w:rsidRPr="0012172C">
        <w:t>The second guardian was aware that Tiana was subjected to restrictive practices at the hands of her SIL provider. Tiana was repeatedly wrapped in sheets at night as an attempt to prevent self-harm. Her arms and upper torso were also restrained with scarves on several different occasions. The second guardian did not address the use of restrictive practices and allowed it to continue.</w:t>
      </w:r>
    </w:p>
    <w:p w14:paraId="09352A05" w14:textId="77777777" w:rsidR="0012172C" w:rsidRPr="0012172C" w:rsidRDefault="0012172C" w:rsidP="0012172C">
      <w:r w:rsidRPr="0012172C">
        <w:t>Tiana’s family tried several times to connect with the guardian and raise their concerns and complaints about her service provision. Their complaints were ignored, and the family escalated their complaints to the NDIS Quality and Safeguards Commission and to the Minister. After the family escalated their complaints, the second guardian instructed Tiana’s individual disability advocate, service provider and specialist support coordinator that they were not allowed to share any information with Tiana’s family, stating that they were “toxic”. From this point, Tiana was shut off from her family, and the second guardian failed to reply to any contact made by her family. </w:t>
      </w:r>
    </w:p>
    <w:p w14:paraId="5799B764" w14:textId="77777777" w:rsidR="0012172C" w:rsidRPr="0012172C" w:rsidRDefault="0012172C" w:rsidP="0012172C">
      <w:r w:rsidRPr="0012172C">
        <w:t>Tiana was moved a total of six times whilst under the OPG’s guardianship. The moves caused her great distress which contributed to her self-harm. Whilst under the care of the OPG, Tiana was subjected to negligence, preventable health issues, separation from her family, trauma, and restrictive practices.</w:t>
      </w:r>
    </w:p>
    <w:p w14:paraId="3F1D4C4C" w14:textId="77777777" w:rsidR="0012172C" w:rsidRPr="0012172C" w:rsidRDefault="0012172C" w:rsidP="0012172C">
      <w:r w:rsidRPr="0012172C">
        <w:t>Tiana’s two sisters were eventually appointed as her guardians in 2022. The second guardian failed to provide any handover to the sisters.</w:t>
      </w:r>
    </w:p>
    <w:p w14:paraId="623E9FC3" w14:textId="6204D8B3" w:rsidR="00247829" w:rsidRPr="0012172C" w:rsidRDefault="0012172C" w:rsidP="0012172C">
      <w:pPr>
        <w:rPr>
          <w:i/>
          <w:iCs/>
        </w:rPr>
      </w:pPr>
      <w:r w:rsidRPr="0012172C">
        <w:rPr>
          <w:i/>
          <w:iCs/>
        </w:rPr>
        <w:t>*</w:t>
      </w:r>
      <w:proofErr w:type="gramStart"/>
      <w:r w:rsidRPr="0012172C">
        <w:rPr>
          <w:i/>
          <w:iCs/>
        </w:rPr>
        <w:t>name</w:t>
      </w:r>
      <w:proofErr w:type="gramEnd"/>
      <w:r w:rsidRPr="0012172C">
        <w:rPr>
          <w:i/>
          <w:iCs/>
        </w:rPr>
        <w:t xml:space="preserve"> changed to protect confidentiality</w:t>
      </w:r>
    </w:p>
    <w:p w14:paraId="2DA68D13" w14:textId="77777777" w:rsidR="0012172C" w:rsidRDefault="0012172C" w:rsidP="00E0513B">
      <w:pPr>
        <w:spacing w:after="0"/>
      </w:pPr>
    </w:p>
    <w:p w14:paraId="5BB4D22C" w14:textId="77777777" w:rsidR="00551F0D" w:rsidRPr="00551F0D" w:rsidRDefault="00551F0D" w:rsidP="00551F0D">
      <w:pPr>
        <w:rPr>
          <w:b/>
          <w:bCs/>
        </w:rPr>
      </w:pPr>
      <w:r w:rsidRPr="00551F0D">
        <w:rPr>
          <w:b/>
          <w:bCs/>
        </w:rPr>
        <w:t xml:space="preserve">Case Study provided by Speaking Up </w:t>
      </w:r>
      <w:proofErr w:type="gramStart"/>
      <w:r w:rsidRPr="00551F0D">
        <w:rPr>
          <w:b/>
          <w:bCs/>
        </w:rPr>
        <w:t>For</w:t>
      </w:r>
      <w:proofErr w:type="gramEnd"/>
      <w:r w:rsidRPr="00551F0D">
        <w:rPr>
          <w:b/>
          <w:bCs/>
        </w:rPr>
        <w:t xml:space="preserve"> You</w:t>
      </w:r>
    </w:p>
    <w:p w14:paraId="42EFBC7F" w14:textId="589EEAFE" w:rsidR="00551F0D" w:rsidRPr="00551F0D" w:rsidRDefault="00551F0D" w:rsidP="00551F0D">
      <w:r w:rsidRPr="00551F0D">
        <w:t xml:space="preserve">Shay* has an acquired brain injury (ABI) and was held in hospital for over a year without the prospect of discharge. Shay engaged with an individual disability advocate to support her in transition out of the hospital, and the advocate was able to liaise with Shay’s </w:t>
      </w:r>
      <w:r w:rsidR="39ED0A33">
        <w:t>delegated</w:t>
      </w:r>
      <w:r w:rsidRPr="00551F0D">
        <w:t xml:space="preserve"> guardian and negotiate the discharge within a few months. During this period, the advocate identified that it was essential for Shay to complete a change of circumstances form to ensure that she had adequate NDIS support and services in place.</w:t>
      </w:r>
    </w:p>
    <w:p w14:paraId="021F3E2A" w14:textId="2EA9D248" w:rsidR="00551F0D" w:rsidRPr="00551F0D" w:rsidRDefault="00551F0D" w:rsidP="00551F0D">
      <w:r w:rsidRPr="00551F0D">
        <w:t xml:space="preserve">Shortly after Shay was discharged from the hospital, she was </w:t>
      </w:r>
      <w:r w:rsidR="7C8E03FD">
        <w:t>delegated</w:t>
      </w:r>
      <w:r w:rsidRPr="00551F0D">
        <w:t xml:space="preserve"> a new guardian. The new guardian instructed all of Shay’s NDIS services that they could not share any information with her advocate. This included Shay’s support coordinator, service provider, support workers and occupational therapist. Shay experiences difficulties with communication and technology and relies on her advocate to support her in communicating with her guardian and her NDIS services. Shay reported feeling extremely disempowered by the guardian’s decision. </w:t>
      </w:r>
    </w:p>
    <w:p w14:paraId="03A08590" w14:textId="6C8A1D3F" w:rsidR="00551F0D" w:rsidRPr="00551F0D" w:rsidRDefault="00551F0D" w:rsidP="00551F0D">
      <w:r w:rsidRPr="00551F0D">
        <w:lastRenderedPageBreak/>
        <w:t xml:space="preserve">Shay’s advocate expressed their concerns with the guardian and explained that the directive impeded the efficiency of Shay’s advocacy. The guardian eventually allowed Shay’s advocate to send emails to the NDIS services. However, the services were not allowed to respond directly to the advocate. Instead, all responses had to be </w:t>
      </w:r>
      <w:r w:rsidR="46FB124E">
        <w:t>channeled</w:t>
      </w:r>
      <w:r w:rsidRPr="00551F0D">
        <w:t xml:space="preserve"> through the guardian. The guardian insisted this was protocol, and the advocate requested copies of any relevant guidelines or policies that supported this claim. The advocate received no response. The advocate requested the guidelines and policy again, after which a new guardian was </w:t>
      </w:r>
      <w:r>
        <w:t>d</w:t>
      </w:r>
      <w:r w:rsidR="5EE2CB1D">
        <w:t>elegated</w:t>
      </w:r>
      <w:r>
        <w:t>.</w:t>
      </w:r>
    </w:p>
    <w:p w14:paraId="4CFBED41" w14:textId="62E7C804" w:rsidR="00551F0D" w:rsidRDefault="00551F0D" w:rsidP="00551F0D">
      <w:r w:rsidRPr="00551F0D">
        <w:t xml:space="preserve">The newly </w:t>
      </w:r>
      <w:r w:rsidR="2C3EBA45">
        <w:t>delegated</w:t>
      </w:r>
      <w:r w:rsidRPr="00551F0D">
        <w:t xml:space="preserve"> guardian agreed to provide consent for the advocate to communicate with all NDIS services and involved the advocate in all correspondence and stakeholder meetings regarding Shay’s NDIS. The new guardian enabled effective and efficient advocacy and supported Shay to achieve her goals.</w:t>
      </w:r>
    </w:p>
    <w:p w14:paraId="6C98DA70" w14:textId="77777777" w:rsidR="00551F0D" w:rsidRPr="0012172C" w:rsidRDefault="00551F0D" w:rsidP="00551F0D">
      <w:pPr>
        <w:rPr>
          <w:i/>
          <w:iCs/>
        </w:rPr>
      </w:pPr>
      <w:r w:rsidRPr="0012172C">
        <w:rPr>
          <w:i/>
          <w:iCs/>
        </w:rPr>
        <w:t>*</w:t>
      </w:r>
      <w:proofErr w:type="gramStart"/>
      <w:r w:rsidRPr="0012172C">
        <w:rPr>
          <w:i/>
          <w:iCs/>
        </w:rPr>
        <w:t>name</w:t>
      </w:r>
      <w:proofErr w:type="gramEnd"/>
      <w:r w:rsidRPr="0012172C">
        <w:rPr>
          <w:i/>
          <w:iCs/>
        </w:rPr>
        <w:t xml:space="preserve"> changed to protect confidentiality</w:t>
      </w:r>
    </w:p>
    <w:p w14:paraId="407959C2" w14:textId="77777777" w:rsidR="00551F0D" w:rsidRPr="001C64E7" w:rsidRDefault="00551F0D" w:rsidP="00E0513B">
      <w:pPr>
        <w:spacing w:after="0"/>
      </w:pPr>
    </w:p>
    <w:p w14:paraId="38D15890" w14:textId="61C2AC59" w:rsidR="00247829" w:rsidRDefault="007808D6" w:rsidP="009C5A59">
      <w:pPr>
        <w:pStyle w:val="Heading1"/>
        <w:numPr>
          <w:ilvl w:val="0"/>
          <w:numId w:val="0"/>
        </w:numPr>
        <w:ind w:left="360" w:hanging="360"/>
      </w:pPr>
      <w:r>
        <w:t>Conclusion</w:t>
      </w:r>
    </w:p>
    <w:p w14:paraId="5153CE45" w14:textId="31564D07" w:rsidR="00FD688B" w:rsidRPr="00FD688B" w:rsidRDefault="00FD688B" w:rsidP="00FD688B">
      <w:r w:rsidRPr="00FD688B">
        <w:t xml:space="preserve">QIDAN </w:t>
      </w:r>
      <w:proofErr w:type="spellStart"/>
      <w:r w:rsidRPr="00FD688B">
        <w:t>recognises</w:t>
      </w:r>
      <w:proofErr w:type="spellEnd"/>
      <w:r w:rsidRPr="00FD688B">
        <w:t xml:space="preserve"> that advocates often establish effective relationships with the OPG, leading to positive outcomes for people with disability. </w:t>
      </w:r>
      <w:r w:rsidR="00CC527E">
        <w:t xml:space="preserve">Building upon </w:t>
      </w:r>
      <w:r w:rsidR="00564C77">
        <w:t>this foundation</w:t>
      </w:r>
      <w:r w:rsidR="0042001F">
        <w:t xml:space="preserve">, QIDAN </w:t>
      </w:r>
      <w:r w:rsidR="00564C77">
        <w:t>would like</w:t>
      </w:r>
      <w:r w:rsidR="0042001F">
        <w:t xml:space="preserve"> to </w:t>
      </w:r>
      <w:r w:rsidR="00564C77">
        <w:t xml:space="preserve">work with the OPG </w:t>
      </w:r>
      <w:r w:rsidR="0042001F">
        <w:t xml:space="preserve">further enhance the </w:t>
      </w:r>
      <w:r w:rsidR="00564C77">
        <w:t xml:space="preserve">quality of life for people with disabilities. </w:t>
      </w:r>
    </w:p>
    <w:p w14:paraId="171D00D7" w14:textId="77777777" w:rsidR="00FD688B" w:rsidRPr="00FD688B" w:rsidRDefault="00FD688B" w:rsidP="00FD688B">
      <w:r w:rsidRPr="00FD688B">
        <w:t>QIDAN thank the Department of Child Safety, Seniors, and Disability Services (DCSSCS) for the opportunity to report on some of the issues faced by people with disability and their families who are engaged with the OPG. QIDAN appreciates the DCSSCS raising our feedback and recommendations with relevant Departments, and for listening to people with disability, their families, and their advocates. We hope that our recommendations can be considered by the OPG for the improvement of collaboration, future operations, and service delivery.</w:t>
      </w:r>
    </w:p>
    <w:p w14:paraId="397A3DF9" w14:textId="77777777" w:rsidR="00F4451D" w:rsidRDefault="00F4451D" w:rsidP="00FC2A71"/>
    <w:sectPr w:rsidR="00F4451D" w:rsidSect="00CF499B">
      <w:pgSz w:w="12240" w:h="15840"/>
      <w:pgMar w:top="1440" w:right="1440" w:bottom="1440" w:left="1440" w:header="720" w:footer="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13039" w14:textId="77777777" w:rsidR="00AD7CDE" w:rsidRDefault="00AD7CDE" w:rsidP="0074655D">
      <w:pPr>
        <w:spacing w:after="0"/>
      </w:pPr>
      <w:r>
        <w:separator/>
      </w:r>
    </w:p>
  </w:endnote>
  <w:endnote w:type="continuationSeparator" w:id="0">
    <w:p w14:paraId="4137AB1E" w14:textId="77777777" w:rsidR="00AD7CDE" w:rsidRDefault="00AD7CDE" w:rsidP="0074655D">
      <w:pPr>
        <w:spacing w:after="0"/>
      </w:pPr>
      <w:r>
        <w:continuationSeparator/>
      </w:r>
    </w:p>
  </w:endnote>
  <w:endnote w:type="continuationNotice" w:id="1">
    <w:p w14:paraId="6477D67B" w14:textId="77777777" w:rsidR="00AD7CDE" w:rsidRDefault="00AD7C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B7B4" w14:textId="6BCAA7E1" w:rsidR="0074655D" w:rsidRDefault="0074655D">
    <w:pPr>
      <w:pStyle w:val="Footer"/>
      <w:jc w:val="right"/>
    </w:pPr>
  </w:p>
  <w:p w14:paraId="2CE0F71A" w14:textId="622021BB" w:rsidR="00A82BE8" w:rsidRDefault="00A82BE8" w:rsidP="00A82BE8">
    <w:pPr>
      <w:pStyle w:val="Footer"/>
      <w:tabs>
        <w:tab w:val="clear" w:pos="9026"/>
      </w:tabs>
      <w:ind w:left="-709" w:right="-897" w:hanging="284"/>
    </w:pPr>
    <w:r>
      <w:rPr>
        <w:noProof/>
      </w:rPr>
      <w:t xml:space="preserve">    </w:t>
    </w:r>
    <w:r>
      <w:rPr>
        <w:noProof/>
      </w:rPr>
      <w:drawing>
        <wp:inline distT="0" distB="0" distL="0" distR="0" wp14:anchorId="046523A8" wp14:editId="5CC5DF44">
          <wp:extent cx="1431116" cy="360000"/>
          <wp:effectExtent l="0" t="0" r="0" b="2540"/>
          <wp:docPr id="127507347" name="Picture 127507347" descr="Aged and Disability Advocacy Australia (AD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ged and Disability Advocacy Australia (ADA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116" cy="360000"/>
                  </a:xfrm>
                  <a:prstGeom prst="rect">
                    <a:avLst/>
                  </a:prstGeom>
                  <a:noFill/>
                  <a:ln>
                    <a:noFill/>
                  </a:ln>
                </pic:spPr>
              </pic:pic>
            </a:graphicData>
          </a:graphic>
        </wp:inline>
      </w:drawing>
    </w:r>
    <w:r>
      <w:rPr>
        <w:noProof/>
      </w:rPr>
      <w:t xml:space="preserve">  </w:t>
    </w:r>
    <w:r>
      <w:rPr>
        <w:noProof/>
      </w:rPr>
      <w:drawing>
        <wp:inline distT="0" distB="0" distL="0" distR="0" wp14:anchorId="54C0AC9C" wp14:editId="682ADD45">
          <wp:extent cx="1136530" cy="360000"/>
          <wp:effectExtent l="0" t="0" r="6985" b="2540"/>
          <wp:docPr id="758960044" name="Picture 758960044" descr="Amparo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mparo Advocacy In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530" cy="360000"/>
                  </a:xfrm>
                  <a:prstGeom prst="rect">
                    <a:avLst/>
                  </a:prstGeom>
                  <a:noFill/>
                  <a:ln>
                    <a:noFill/>
                  </a:ln>
                </pic:spPr>
              </pic:pic>
            </a:graphicData>
          </a:graphic>
        </wp:inline>
      </w:drawing>
    </w:r>
    <w:r>
      <w:rPr>
        <w:noProof/>
      </w:rPr>
      <w:t xml:space="preserve"> </w:t>
    </w:r>
    <w:r>
      <w:rPr>
        <w:noProof/>
      </w:rPr>
      <w:drawing>
        <wp:inline distT="0" distB="0" distL="0" distR="0" wp14:anchorId="7802DBEB" wp14:editId="380FB93C">
          <wp:extent cx="1181596" cy="360000"/>
          <wp:effectExtent l="0" t="0" r="0" b="2540"/>
          <wp:docPr id="106771257" name="Picture 106771257" descr="Aboriginal and Torres Strait Islander Network of Queensland (ATSID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boriginal and Torres Strait Islander Network of Queensland (ATSIDNQ)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596" cy="360000"/>
                  </a:xfrm>
                  <a:prstGeom prst="rect">
                    <a:avLst/>
                  </a:prstGeom>
                  <a:noFill/>
                  <a:ln>
                    <a:noFill/>
                  </a:ln>
                </pic:spPr>
              </pic:pic>
            </a:graphicData>
          </a:graphic>
        </wp:inline>
      </w:drawing>
    </w:r>
    <w:r>
      <w:rPr>
        <w:noProof/>
      </w:rPr>
      <w:t xml:space="preserve"> </w:t>
    </w:r>
    <w:r>
      <w:rPr>
        <w:noProof/>
      </w:rPr>
      <w:drawing>
        <wp:inline distT="0" distB="0" distL="0" distR="0" wp14:anchorId="6044B58F" wp14:editId="7E04103B">
          <wp:extent cx="1036799" cy="360000"/>
          <wp:effectExtent l="0" t="0" r="0" b="2540"/>
          <wp:docPr id="1143925160" name="Picture 1143925160" descr="Capricorn Citizen Advocacy (C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apricorn Citizen Advocacy (CCA)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799" cy="360000"/>
                  </a:xfrm>
                  <a:prstGeom prst="rect">
                    <a:avLst/>
                  </a:prstGeom>
                  <a:noFill/>
                  <a:ln>
                    <a:noFill/>
                  </a:ln>
                </pic:spPr>
              </pic:pic>
            </a:graphicData>
          </a:graphic>
        </wp:inline>
      </w:drawing>
    </w:r>
    <w:r>
      <w:rPr>
        <w:noProof/>
      </w:rPr>
      <w:t xml:space="preserve"> </w:t>
    </w:r>
    <w:r>
      <w:rPr>
        <w:noProof/>
      </w:rPr>
      <w:drawing>
        <wp:inline distT="0" distB="0" distL="0" distR="0" wp14:anchorId="6AF4F9F0" wp14:editId="30069300">
          <wp:extent cx="1479346" cy="360000"/>
          <wp:effectExtent l="0" t="0" r="6985" b="2540"/>
          <wp:docPr id="188782720" name="Picture 188782720" descr="Independent Advocacy in the Tropics Inc (IAT / IA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ndependent Advocacy in the Tropics Inc (IAT / IANQ)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346" cy="360000"/>
                  </a:xfrm>
                  <a:prstGeom prst="rect">
                    <a:avLst/>
                  </a:prstGeom>
                  <a:noFill/>
                  <a:ln>
                    <a:noFill/>
                  </a:ln>
                </pic:spPr>
              </pic:pic>
            </a:graphicData>
          </a:graphic>
        </wp:inline>
      </w:drawing>
    </w:r>
    <w:r>
      <w:rPr>
        <w:noProof/>
      </w:rPr>
      <w:t xml:space="preserve">  </w:t>
    </w:r>
    <w:r>
      <w:rPr>
        <w:noProof/>
      </w:rPr>
      <w:drawing>
        <wp:inline distT="0" distB="0" distL="0" distR="0" wp14:anchorId="58E521BD" wp14:editId="51C58051">
          <wp:extent cx="396000" cy="396000"/>
          <wp:effectExtent l="0" t="0" r="4445" b="4445"/>
          <wp:docPr id="1844925073" name="Picture 1844925073" descr="TA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S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p w14:paraId="4D745EC9" w14:textId="0CE4E970" w:rsidR="00A82BE8" w:rsidRDefault="00740A55" w:rsidP="00740A55">
    <w:pPr>
      <w:pStyle w:val="Footer"/>
      <w:ind w:left="-709" w:right="-421"/>
    </w:pPr>
    <w:r>
      <w:rPr>
        <w:noProof/>
      </w:rPr>
      <w:t xml:space="preserve">     </w:t>
    </w:r>
    <w:r w:rsidR="00A82BE8">
      <w:rPr>
        <w:noProof/>
      </w:rPr>
      <w:drawing>
        <wp:inline distT="0" distB="0" distL="0" distR="0" wp14:anchorId="2B87722A" wp14:editId="141756CF">
          <wp:extent cx="1616687" cy="360000"/>
          <wp:effectExtent l="0" t="0" r="3175" b="2540"/>
          <wp:docPr id="1923125216" name="Picture 1923125216" descr="Mackay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Mackay Advocacy In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687" cy="360000"/>
                  </a:xfrm>
                  <a:prstGeom prst="rect">
                    <a:avLst/>
                  </a:prstGeom>
                  <a:noFill/>
                  <a:ln>
                    <a:noFill/>
                  </a:ln>
                </pic:spPr>
              </pic:pic>
            </a:graphicData>
          </a:graphic>
        </wp:inline>
      </w:drawing>
    </w:r>
    <w:r w:rsidR="00A82BE8">
      <w:t xml:space="preserve"> </w:t>
    </w:r>
    <w:r w:rsidR="00A82BE8">
      <w:rPr>
        <w:noProof/>
      </w:rPr>
      <w:drawing>
        <wp:inline distT="0" distB="0" distL="0" distR="0" wp14:anchorId="7E6818E7" wp14:editId="6F33A373">
          <wp:extent cx="1448349" cy="360000"/>
          <wp:effectExtent l="0" t="0" r="0" b="2540"/>
          <wp:docPr id="2088502144" name="Picture 2088502144" descr="People with Disability Australia (P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ople with Disability Australia (PWD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349" cy="360000"/>
                  </a:xfrm>
                  <a:prstGeom prst="rect">
                    <a:avLst/>
                  </a:prstGeom>
                  <a:noFill/>
                  <a:ln>
                    <a:noFill/>
                  </a:ln>
                </pic:spPr>
              </pic:pic>
            </a:graphicData>
          </a:graphic>
        </wp:inline>
      </w:drawing>
    </w:r>
    <w:r w:rsidR="00A82BE8">
      <w:t xml:space="preserve">   </w:t>
    </w:r>
    <w:r w:rsidR="00A82BE8">
      <w:rPr>
        <w:noProof/>
      </w:rPr>
      <w:drawing>
        <wp:inline distT="0" distB="0" distL="0" distR="0" wp14:anchorId="0F10CBE8" wp14:editId="281335F0">
          <wp:extent cx="1459415" cy="288000"/>
          <wp:effectExtent l="0" t="0" r="7620" b="0"/>
          <wp:docPr id="404271627" name="Picture 404271627" descr="Rights in Action (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Rights in Action (R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415" cy="288000"/>
                  </a:xfrm>
                  <a:prstGeom prst="rect">
                    <a:avLst/>
                  </a:prstGeom>
                  <a:noFill/>
                  <a:ln>
                    <a:noFill/>
                  </a:ln>
                </pic:spPr>
              </pic:pic>
            </a:graphicData>
          </a:graphic>
        </wp:inline>
      </w:drawing>
    </w:r>
    <w:r w:rsidR="00A82BE8">
      <w:t xml:space="preserve">  </w:t>
    </w:r>
    <w:r w:rsidR="00A82BE8">
      <w:rPr>
        <w:noProof/>
      </w:rPr>
      <w:drawing>
        <wp:inline distT="0" distB="0" distL="0" distR="0" wp14:anchorId="348E1441" wp14:editId="6DA46933">
          <wp:extent cx="1189016" cy="360000"/>
          <wp:effectExtent l="0" t="0" r="0" b="2540"/>
          <wp:docPr id="1233348888" name="Picture 1233348888" descr="Queensland Advocacy for Inclusion (Q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Queensland Advocacy for Inclusion (QA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9016" cy="360000"/>
                  </a:xfrm>
                  <a:prstGeom prst="rect">
                    <a:avLst/>
                  </a:prstGeom>
                  <a:noFill/>
                  <a:ln>
                    <a:noFill/>
                  </a:ln>
                </pic:spPr>
              </pic:pic>
            </a:graphicData>
          </a:graphic>
        </wp:inline>
      </w:drawing>
    </w:r>
    <w:r w:rsidR="00A82BE8">
      <w:t xml:space="preserve"> </w:t>
    </w:r>
    <w:r w:rsidR="00A82BE8">
      <w:rPr>
        <w:noProof/>
      </w:rPr>
      <w:t xml:space="preserve"> </w:t>
    </w:r>
    <w:r w:rsidR="00A82BE8">
      <w:rPr>
        <w:noProof/>
      </w:rPr>
      <w:drawing>
        <wp:inline distT="0" distB="0" distL="0" distR="0" wp14:anchorId="61370100" wp14:editId="5A3AC14C">
          <wp:extent cx="495271" cy="396000"/>
          <wp:effectExtent l="0" t="0" r="635" b="4445"/>
          <wp:docPr id="185723552" name="Picture 185723552" descr="Speaking Up For You (SU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Speaking Up For You (SUF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71" cy="396000"/>
                  </a:xfrm>
                  <a:prstGeom prst="rect">
                    <a:avLst/>
                  </a:prstGeom>
                  <a:noFill/>
                  <a:ln>
                    <a:noFill/>
                  </a:ln>
                </pic:spPr>
              </pic:pic>
            </a:graphicData>
          </a:graphic>
        </wp:inline>
      </w:drawing>
    </w:r>
  </w:p>
  <w:p w14:paraId="2B3E9DE0" w14:textId="2DE10747" w:rsidR="0074655D" w:rsidRDefault="0074655D" w:rsidP="00A8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BAAF7" w14:textId="77777777" w:rsidR="00AD7CDE" w:rsidRDefault="00AD7CDE" w:rsidP="0074655D">
      <w:pPr>
        <w:spacing w:after="0"/>
      </w:pPr>
      <w:r>
        <w:separator/>
      </w:r>
    </w:p>
  </w:footnote>
  <w:footnote w:type="continuationSeparator" w:id="0">
    <w:p w14:paraId="19E0E590" w14:textId="77777777" w:rsidR="00AD7CDE" w:rsidRDefault="00AD7CDE" w:rsidP="0074655D">
      <w:pPr>
        <w:spacing w:after="0"/>
      </w:pPr>
      <w:r>
        <w:continuationSeparator/>
      </w:r>
    </w:p>
  </w:footnote>
  <w:footnote w:type="continuationNotice" w:id="1">
    <w:p w14:paraId="4706956E" w14:textId="77777777" w:rsidR="00AD7CDE" w:rsidRDefault="00AD7C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i/>
        <w:iCs/>
        <w:sz w:val="18"/>
        <w:szCs w:val="18"/>
      </w:rPr>
      <w:id w:val="-1645111221"/>
      <w:docPartObj>
        <w:docPartGallery w:val="Page Numbers (Top of Page)"/>
        <w:docPartUnique/>
      </w:docPartObj>
    </w:sdtPr>
    <w:sdtEndPr>
      <w:rPr>
        <w:noProof/>
      </w:rPr>
    </w:sdtEndPr>
    <w:sdtContent>
      <w:p w14:paraId="569F7CA4" w14:textId="1E55713D" w:rsidR="00BA2E19" w:rsidRPr="00C03497" w:rsidRDefault="00BA2E19">
        <w:pPr>
          <w:pStyle w:val="Header"/>
          <w:jc w:val="right"/>
          <w:rPr>
            <w:b/>
            <w:bCs/>
            <w:i/>
            <w:iCs/>
            <w:sz w:val="18"/>
            <w:szCs w:val="18"/>
          </w:rPr>
        </w:pPr>
        <w:r w:rsidRPr="00C03497">
          <w:rPr>
            <w:b/>
            <w:bCs/>
            <w:i/>
            <w:iCs/>
            <w:sz w:val="18"/>
            <w:szCs w:val="18"/>
          </w:rPr>
          <w:fldChar w:fldCharType="begin"/>
        </w:r>
        <w:r w:rsidRPr="00C03497">
          <w:rPr>
            <w:b/>
            <w:bCs/>
            <w:i/>
            <w:iCs/>
            <w:sz w:val="18"/>
            <w:szCs w:val="18"/>
          </w:rPr>
          <w:instrText xml:space="preserve"> PAGE   \* MERGEFORMAT </w:instrText>
        </w:r>
        <w:r w:rsidRPr="00C03497">
          <w:rPr>
            <w:b/>
            <w:bCs/>
            <w:i/>
            <w:iCs/>
            <w:sz w:val="18"/>
            <w:szCs w:val="18"/>
          </w:rPr>
          <w:fldChar w:fldCharType="separate"/>
        </w:r>
        <w:r w:rsidRPr="00C03497">
          <w:rPr>
            <w:b/>
            <w:bCs/>
            <w:i/>
            <w:iCs/>
            <w:noProof/>
            <w:sz w:val="18"/>
            <w:szCs w:val="18"/>
          </w:rPr>
          <w:t>2</w:t>
        </w:r>
        <w:r w:rsidRPr="00C03497">
          <w:rPr>
            <w:b/>
            <w:bCs/>
            <w:i/>
            <w:iCs/>
            <w:noProof/>
            <w:sz w:val="18"/>
            <w:szCs w:val="18"/>
          </w:rPr>
          <w:fldChar w:fldCharType="end"/>
        </w:r>
      </w:p>
    </w:sdtContent>
  </w:sdt>
  <w:p w14:paraId="53AEF67F" w14:textId="77777777" w:rsidR="00BA2E19" w:rsidRDefault="00BA2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867CD"/>
    <w:multiLevelType w:val="multilevel"/>
    <w:tmpl w:val="F13AF8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C44FDC"/>
    <w:multiLevelType w:val="hybridMultilevel"/>
    <w:tmpl w:val="86C24EBC"/>
    <w:lvl w:ilvl="0" w:tplc="076892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CA461A"/>
    <w:multiLevelType w:val="hybridMultilevel"/>
    <w:tmpl w:val="1FE0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D41CB3"/>
    <w:multiLevelType w:val="multilevel"/>
    <w:tmpl w:val="F13AF8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836FC8"/>
    <w:multiLevelType w:val="hybridMultilevel"/>
    <w:tmpl w:val="2BEC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D32E40"/>
    <w:multiLevelType w:val="hybridMultilevel"/>
    <w:tmpl w:val="47CA9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75D0ACD"/>
    <w:multiLevelType w:val="hybridMultilevel"/>
    <w:tmpl w:val="85186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87032E9"/>
    <w:multiLevelType w:val="multilevel"/>
    <w:tmpl w:val="C41022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640145"/>
    <w:multiLevelType w:val="hybridMultilevel"/>
    <w:tmpl w:val="17103FAA"/>
    <w:lvl w:ilvl="0" w:tplc="E1866512">
      <w:start w:val="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9E1654"/>
    <w:multiLevelType w:val="multilevel"/>
    <w:tmpl w:val="37F40CA6"/>
    <w:lvl w:ilvl="0">
      <w:start w:val="1"/>
      <w:numFmt w:val="decimal"/>
      <w:pStyle w:val="Heading1"/>
      <w:lvlText w:val="%1."/>
      <w:lvlJc w:val="left"/>
      <w:pPr>
        <w:ind w:left="720" w:hanging="360"/>
      </w:pPr>
      <w:rPr>
        <w:rFonts w:hint="default"/>
      </w:rPr>
    </w:lvl>
    <w:lvl w:ilvl="1">
      <w:start w:val="1"/>
      <w:numFmt w:val="decimal"/>
      <w:isLgl/>
      <w:lvlText w:val="%1.%2."/>
      <w:lvlJc w:val="left"/>
      <w:pPr>
        <w:ind w:left="29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1683E5B"/>
    <w:multiLevelType w:val="hybridMultilevel"/>
    <w:tmpl w:val="C5D04F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CCD00D2"/>
    <w:multiLevelType w:val="hybridMultilevel"/>
    <w:tmpl w:val="5C9AD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6B2469"/>
    <w:multiLevelType w:val="hybridMultilevel"/>
    <w:tmpl w:val="9E14C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BD49A9"/>
    <w:multiLevelType w:val="multilevel"/>
    <w:tmpl w:val="221868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4E2C0A"/>
    <w:multiLevelType w:val="hybridMultilevel"/>
    <w:tmpl w:val="911C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214C55"/>
    <w:multiLevelType w:val="hybridMultilevel"/>
    <w:tmpl w:val="847267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03543624">
    <w:abstractNumId w:val="1"/>
  </w:num>
  <w:num w:numId="2" w16cid:durableId="857886690">
    <w:abstractNumId w:val="6"/>
  </w:num>
  <w:num w:numId="3" w16cid:durableId="1633245373">
    <w:abstractNumId w:val="6"/>
  </w:num>
  <w:num w:numId="4" w16cid:durableId="124738521">
    <w:abstractNumId w:val="10"/>
  </w:num>
  <w:num w:numId="5" w16cid:durableId="877741169">
    <w:abstractNumId w:val="11"/>
  </w:num>
  <w:num w:numId="6" w16cid:durableId="622004187">
    <w:abstractNumId w:val="8"/>
  </w:num>
  <w:num w:numId="7" w16cid:durableId="1323853881">
    <w:abstractNumId w:val="2"/>
  </w:num>
  <w:num w:numId="8" w16cid:durableId="268901178">
    <w:abstractNumId w:val="4"/>
  </w:num>
  <w:num w:numId="9" w16cid:durableId="1941449140">
    <w:abstractNumId w:val="14"/>
  </w:num>
  <w:num w:numId="10" w16cid:durableId="2032686696">
    <w:abstractNumId w:val="5"/>
  </w:num>
  <w:num w:numId="11" w16cid:durableId="1113593695">
    <w:abstractNumId w:val="15"/>
  </w:num>
  <w:num w:numId="12" w16cid:durableId="1559243219">
    <w:abstractNumId w:val="12"/>
  </w:num>
  <w:num w:numId="13" w16cid:durableId="137574883">
    <w:abstractNumId w:val="9"/>
  </w:num>
  <w:num w:numId="14" w16cid:durableId="1773739006">
    <w:abstractNumId w:val="13"/>
  </w:num>
  <w:num w:numId="15" w16cid:durableId="990905897">
    <w:abstractNumId w:val="0"/>
  </w:num>
  <w:num w:numId="16" w16cid:durableId="1337077788">
    <w:abstractNumId w:val="7"/>
  </w:num>
  <w:num w:numId="17" w16cid:durableId="5924781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F86AC8"/>
    <w:rsid w:val="00001433"/>
    <w:rsid w:val="00004C6D"/>
    <w:rsid w:val="0001713F"/>
    <w:rsid w:val="00017683"/>
    <w:rsid w:val="00030540"/>
    <w:rsid w:val="00030684"/>
    <w:rsid w:val="00035BE6"/>
    <w:rsid w:val="000402F3"/>
    <w:rsid w:val="00056EEF"/>
    <w:rsid w:val="000576BB"/>
    <w:rsid w:val="00064DCE"/>
    <w:rsid w:val="00073F49"/>
    <w:rsid w:val="000938D0"/>
    <w:rsid w:val="000A2CC8"/>
    <w:rsid w:val="000A36C4"/>
    <w:rsid w:val="000C317F"/>
    <w:rsid w:val="000D16F9"/>
    <w:rsid w:val="000F1009"/>
    <w:rsid w:val="000F2E98"/>
    <w:rsid w:val="000F3C28"/>
    <w:rsid w:val="000F40BD"/>
    <w:rsid w:val="00103356"/>
    <w:rsid w:val="001073BF"/>
    <w:rsid w:val="0012172C"/>
    <w:rsid w:val="00125F2E"/>
    <w:rsid w:val="00127125"/>
    <w:rsid w:val="00127698"/>
    <w:rsid w:val="00132D76"/>
    <w:rsid w:val="00133A8F"/>
    <w:rsid w:val="001377D6"/>
    <w:rsid w:val="0014224C"/>
    <w:rsid w:val="0014312F"/>
    <w:rsid w:val="00144EEC"/>
    <w:rsid w:val="00151211"/>
    <w:rsid w:val="001579A8"/>
    <w:rsid w:val="00166A7A"/>
    <w:rsid w:val="0017368F"/>
    <w:rsid w:val="00173A63"/>
    <w:rsid w:val="00197EDF"/>
    <w:rsid w:val="001A050C"/>
    <w:rsid w:val="001A4676"/>
    <w:rsid w:val="001A5E97"/>
    <w:rsid w:val="001B041E"/>
    <w:rsid w:val="001B79E1"/>
    <w:rsid w:val="001C4687"/>
    <w:rsid w:val="001C64E7"/>
    <w:rsid w:val="001C664D"/>
    <w:rsid w:val="001F266F"/>
    <w:rsid w:val="001F7F05"/>
    <w:rsid w:val="00216AE8"/>
    <w:rsid w:val="00217FEB"/>
    <w:rsid w:val="00221ACA"/>
    <w:rsid w:val="00223740"/>
    <w:rsid w:val="002326CA"/>
    <w:rsid w:val="0024129D"/>
    <w:rsid w:val="002459DF"/>
    <w:rsid w:val="00247829"/>
    <w:rsid w:val="0025585F"/>
    <w:rsid w:val="00255868"/>
    <w:rsid w:val="002569B9"/>
    <w:rsid w:val="00256DB1"/>
    <w:rsid w:val="00263D0D"/>
    <w:rsid w:val="00265374"/>
    <w:rsid w:val="00273CB4"/>
    <w:rsid w:val="0027448A"/>
    <w:rsid w:val="00290CD3"/>
    <w:rsid w:val="002914B1"/>
    <w:rsid w:val="002C1454"/>
    <w:rsid w:val="002E5A8E"/>
    <w:rsid w:val="002F40F6"/>
    <w:rsid w:val="003021AE"/>
    <w:rsid w:val="003048FB"/>
    <w:rsid w:val="0034147C"/>
    <w:rsid w:val="003440EA"/>
    <w:rsid w:val="00344B95"/>
    <w:rsid w:val="003459D1"/>
    <w:rsid w:val="00353EA0"/>
    <w:rsid w:val="003566A2"/>
    <w:rsid w:val="00364709"/>
    <w:rsid w:val="0036653F"/>
    <w:rsid w:val="0037214C"/>
    <w:rsid w:val="003743DB"/>
    <w:rsid w:val="00375B89"/>
    <w:rsid w:val="003772F3"/>
    <w:rsid w:val="0038266C"/>
    <w:rsid w:val="003870CF"/>
    <w:rsid w:val="00387DE4"/>
    <w:rsid w:val="00390380"/>
    <w:rsid w:val="003929AC"/>
    <w:rsid w:val="00392F79"/>
    <w:rsid w:val="003955B6"/>
    <w:rsid w:val="003A6A31"/>
    <w:rsid w:val="003B0BB5"/>
    <w:rsid w:val="003B5099"/>
    <w:rsid w:val="003B5647"/>
    <w:rsid w:val="003B5841"/>
    <w:rsid w:val="003C0B7B"/>
    <w:rsid w:val="003C1F11"/>
    <w:rsid w:val="003C3AD2"/>
    <w:rsid w:val="003C7AF7"/>
    <w:rsid w:val="003E3D71"/>
    <w:rsid w:val="003F0E7E"/>
    <w:rsid w:val="003F1F2C"/>
    <w:rsid w:val="003F57F0"/>
    <w:rsid w:val="0040198E"/>
    <w:rsid w:val="00411B75"/>
    <w:rsid w:val="00413C80"/>
    <w:rsid w:val="0042001F"/>
    <w:rsid w:val="00420566"/>
    <w:rsid w:val="00423008"/>
    <w:rsid w:val="00425105"/>
    <w:rsid w:val="00427D90"/>
    <w:rsid w:val="00432570"/>
    <w:rsid w:val="0043580A"/>
    <w:rsid w:val="0043643B"/>
    <w:rsid w:val="00447028"/>
    <w:rsid w:val="004515BA"/>
    <w:rsid w:val="004523F0"/>
    <w:rsid w:val="00456228"/>
    <w:rsid w:val="0045645D"/>
    <w:rsid w:val="00456B88"/>
    <w:rsid w:val="004676E7"/>
    <w:rsid w:val="00470C11"/>
    <w:rsid w:val="00472144"/>
    <w:rsid w:val="004822C9"/>
    <w:rsid w:val="004822DD"/>
    <w:rsid w:val="00491F82"/>
    <w:rsid w:val="004A10FE"/>
    <w:rsid w:val="004A33E6"/>
    <w:rsid w:val="004B36D9"/>
    <w:rsid w:val="004B3EF4"/>
    <w:rsid w:val="004C1C03"/>
    <w:rsid w:val="004C46E9"/>
    <w:rsid w:val="004D1028"/>
    <w:rsid w:val="004D3DF7"/>
    <w:rsid w:val="004D6B39"/>
    <w:rsid w:val="004F4BDD"/>
    <w:rsid w:val="005037CC"/>
    <w:rsid w:val="005058C7"/>
    <w:rsid w:val="00511928"/>
    <w:rsid w:val="00524E18"/>
    <w:rsid w:val="0052766B"/>
    <w:rsid w:val="00536D15"/>
    <w:rsid w:val="00544B12"/>
    <w:rsid w:val="00551F0D"/>
    <w:rsid w:val="00552963"/>
    <w:rsid w:val="00553FBA"/>
    <w:rsid w:val="00564C77"/>
    <w:rsid w:val="005657F6"/>
    <w:rsid w:val="00567FE0"/>
    <w:rsid w:val="00571A07"/>
    <w:rsid w:val="0058343D"/>
    <w:rsid w:val="00592675"/>
    <w:rsid w:val="005B2606"/>
    <w:rsid w:val="005B5524"/>
    <w:rsid w:val="005B7843"/>
    <w:rsid w:val="005C2966"/>
    <w:rsid w:val="005C3574"/>
    <w:rsid w:val="005D039F"/>
    <w:rsid w:val="005D1C32"/>
    <w:rsid w:val="005E2B1F"/>
    <w:rsid w:val="005F18A4"/>
    <w:rsid w:val="005F63F0"/>
    <w:rsid w:val="00620916"/>
    <w:rsid w:val="006275E2"/>
    <w:rsid w:val="00630F87"/>
    <w:rsid w:val="00632EA9"/>
    <w:rsid w:val="00635B64"/>
    <w:rsid w:val="0064117E"/>
    <w:rsid w:val="0064420A"/>
    <w:rsid w:val="0065316F"/>
    <w:rsid w:val="00660249"/>
    <w:rsid w:val="00671BB5"/>
    <w:rsid w:val="006859F5"/>
    <w:rsid w:val="00692283"/>
    <w:rsid w:val="00692B44"/>
    <w:rsid w:val="006A2DD2"/>
    <w:rsid w:val="006A5B72"/>
    <w:rsid w:val="006B464F"/>
    <w:rsid w:val="006D52DC"/>
    <w:rsid w:val="006F089C"/>
    <w:rsid w:val="00706CA8"/>
    <w:rsid w:val="00711330"/>
    <w:rsid w:val="0071C952"/>
    <w:rsid w:val="0072786B"/>
    <w:rsid w:val="007328EF"/>
    <w:rsid w:val="00734B12"/>
    <w:rsid w:val="00740A55"/>
    <w:rsid w:val="00742DCE"/>
    <w:rsid w:val="0074655D"/>
    <w:rsid w:val="00760C95"/>
    <w:rsid w:val="00763EC8"/>
    <w:rsid w:val="00763F66"/>
    <w:rsid w:val="00780631"/>
    <w:rsid w:val="007808D6"/>
    <w:rsid w:val="00787D34"/>
    <w:rsid w:val="00793564"/>
    <w:rsid w:val="00794B33"/>
    <w:rsid w:val="007959D5"/>
    <w:rsid w:val="00796CDA"/>
    <w:rsid w:val="007A62CE"/>
    <w:rsid w:val="007B0C15"/>
    <w:rsid w:val="007B0C72"/>
    <w:rsid w:val="007B1808"/>
    <w:rsid w:val="007B6F58"/>
    <w:rsid w:val="007B7BFD"/>
    <w:rsid w:val="007C2F99"/>
    <w:rsid w:val="007E4654"/>
    <w:rsid w:val="007E4E6F"/>
    <w:rsid w:val="007F0FC5"/>
    <w:rsid w:val="007F1016"/>
    <w:rsid w:val="007F190E"/>
    <w:rsid w:val="007F2B60"/>
    <w:rsid w:val="008000AB"/>
    <w:rsid w:val="0081100F"/>
    <w:rsid w:val="00822555"/>
    <w:rsid w:val="00850A1B"/>
    <w:rsid w:val="00857BF6"/>
    <w:rsid w:val="008645E3"/>
    <w:rsid w:val="00870EB8"/>
    <w:rsid w:val="00871D5E"/>
    <w:rsid w:val="00872B50"/>
    <w:rsid w:val="00873F8F"/>
    <w:rsid w:val="008838D1"/>
    <w:rsid w:val="00885B0D"/>
    <w:rsid w:val="00890971"/>
    <w:rsid w:val="008A59DC"/>
    <w:rsid w:val="008B4D94"/>
    <w:rsid w:val="008C66BB"/>
    <w:rsid w:val="008C7E09"/>
    <w:rsid w:val="008E3551"/>
    <w:rsid w:val="008E5723"/>
    <w:rsid w:val="008F2EF6"/>
    <w:rsid w:val="008F372D"/>
    <w:rsid w:val="0090159D"/>
    <w:rsid w:val="00911127"/>
    <w:rsid w:val="00915F46"/>
    <w:rsid w:val="00921080"/>
    <w:rsid w:val="00922395"/>
    <w:rsid w:val="00930F29"/>
    <w:rsid w:val="009332C2"/>
    <w:rsid w:val="009347D8"/>
    <w:rsid w:val="00942B03"/>
    <w:rsid w:val="0094387D"/>
    <w:rsid w:val="0095132F"/>
    <w:rsid w:val="00953517"/>
    <w:rsid w:val="00953969"/>
    <w:rsid w:val="0095568F"/>
    <w:rsid w:val="00962383"/>
    <w:rsid w:val="00970411"/>
    <w:rsid w:val="00972681"/>
    <w:rsid w:val="009753C0"/>
    <w:rsid w:val="00980282"/>
    <w:rsid w:val="009805C3"/>
    <w:rsid w:val="00987AE5"/>
    <w:rsid w:val="00990A11"/>
    <w:rsid w:val="0099174A"/>
    <w:rsid w:val="009A1566"/>
    <w:rsid w:val="009A7868"/>
    <w:rsid w:val="009B7A8B"/>
    <w:rsid w:val="009C5A59"/>
    <w:rsid w:val="009C5E38"/>
    <w:rsid w:val="009C7A42"/>
    <w:rsid w:val="009D0ACD"/>
    <w:rsid w:val="009E20F4"/>
    <w:rsid w:val="009F0F7E"/>
    <w:rsid w:val="00A01F61"/>
    <w:rsid w:val="00A0639F"/>
    <w:rsid w:val="00A45F22"/>
    <w:rsid w:val="00A47888"/>
    <w:rsid w:val="00A52A9D"/>
    <w:rsid w:val="00A61751"/>
    <w:rsid w:val="00A623D3"/>
    <w:rsid w:val="00A65397"/>
    <w:rsid w:val="00A77BB7"/>
    <w:rsid w:val="00A82BE8"/>
    <w:rsid w:val="00A9096B"/>
    <w:rsid w:val="00A91486"/>
    <w:rsid w:val="00AB2569"/>
    <w:rsid w:val="00AD2F6A"/>
    <w:rsid w:val="00AD3EE5"/>
    <w:rsid w:val="00AD5A8A"/>
    <w:rsid w:val="00AD7CDE"/>
    <w:rsid w:val="00B00198"/>
    <w:rsid w:val="00B02C23"/>
    <w:rsid w:val="00B02F4B"/>
    <w:rsid w:val="00B0382C"/>
    <w:rsid w:val="00B07847"/>
    <w:rsid w:val="00B17771"/>
    <w:rsid w:val="00B24268"/>
    <w:rsid w:val="00B266B8"/>
    <w:rsid w:val="00B347D1"/>
    <w:rsid w:val="00B379FC"/>
    <w:rsid w:val="00B44ADD"/>
    <w:rsid w:val="00B56119"/>
    <w:rsid w:val="00B715D2"/>
    <w:rsid w:val="00B83BD8"/>
    <w:rsid w:val="00B92DBE"/>
    <w:rsid w:val="00BA0D09"/>
    <w:rsid w:val="00BA2E19"/>
    <w:rsid w:val="00BA75F8"/>
    <w:rsid w:val="00BB0400"/>
    <w:rsid w:val="00BC1FD6"/>
    <w:rsid w:val="00BD6B55"/>
    <w:rsid w:val="00BE6BFE"/>
    <w:rsid w:val="00BF0718"/>
    <w:rsid w:val="00BF6C05"/>
    <w:rsid w:val="00C03497"/>
    <w:rsid w:val="00C0558E"/>
    <w:rsid w:val="00C1466C"/>
    <w:rsid w:val="00C2798F"/>
    <w:rsid w:val="00C312EC"/>
    <w:rsid w:val="00C33B6C"/>
    <w:rsid w:val="00C43B62"/>
    <w:rsid w:val="00C4456D"/>
    <w:rsid w:val="00C44C90"/>
    <w:rsid w:val="00C46B68"/>
    <w:rsid w:val="00C47D79"/>
    <w:rsid w:val="00C47F1B"/>
    <w:rsid w:val="00C53713"/>
    <w:rsid w:val="00C570CE"/>
    <w:rsid w:val="00C6683C"/>
    <w:rsid w:val="00C726AC"/>
    <w:rsid w:val="00C82106"/>
    <w:rsid w:val="00C94155"/>
    <w:rsid w:val="00C957AE"/>
    <w:rsid w:val="00C963BF"/>
    <w:rsid w:val="00CB169B"/>
    <w:rsid w:val="00CB3320"/>
    <w:rsid w:val="00CB3907"/>
    <w:rsid w:val="00CB60A8"/>
    <w:rsid w:val="00CC1DAE"/>
    <w:rsid w:val="00CC527E"/>
    <w:rsid w:val="00CD02A4"/>
    <w:rsid w:val="00CE0023"/>
    <w:rsid w:val="00CE0CB7"/>
    <w:rsid w:val="00CE19F2"/>
    <w:rsid w:val="00CF499B"/>
    <w:rsid w:val="00D00EEF"/>
    <w:rsid w:val="00D014C2"/>
    <w:rsid w:val="00D046C8"/>
    <w:rsid w:val="00D1275C"/>
    <w:rsid w:val="00D12879"/>
    <w:rsid w:val="00D24EB3"/>
    <w:rsid w:val="00D30D54"/>
    <w:rsid w:val="00D3576C"/>
    <w:rsid w:val="00D40C18"/>
    <w:rsid w:val="00D42283"/>
    <w:rsid w:val="00D46CDF"/>
    <w:rsid w:val="00D53975"/>
    <w:rsid w:val="00D54778"/>
    <w:rsid w:val="00D57B1F"/>
    <w:rsid w:val="00D618FE"/>
    <w:rsid w:val="00D66729"/>
    <w:rsid w:val="00D70220"/>
    <w:rsid w:val="00D84B3A"/>
    <w:rsid w:val="00D97B79"/>
    <w:rsid w:val="00DB0BEC"/>
    <w:rsid w:val="00DB5290"/>
    <w:rsid w:val="00DC19EB"/>
    <w:rsid w:val="00DC30CC"/>
    <w:rsid w:val="00DC53E9"/>
    <w:rsid w:val="00DD1AE6"/>
    <w:rsid w:val="00DF20A3"/>
    <w:rsid w:val="00DF7C10"/>
    <w:rsid w:val="00E0513B"/>
    <w:rsid w:val="00E06F83"/>
    <w:rsid w:val="00E11B97"/>
    <w:rsid w:val="00E165D9"/>
    <w:rsid w:val="00E37540"/>
    <w:rsid w:val="00E41CAC"/>
    <w:rsid w:val="00E47A2C"/>
    <w:rsid w:val="00E553B9"/>
    <w:rsid w:val="00E613C4"/>
    <w:rsid w:val="00E63998"/>
    <w:rsid w:val="00E7027A"/>
    <w:rsid w:val="00E706E1"/>
    <w:rsid w:val="00E77FEF"/>
    <w:rsid w:val="00E83981"/>
    <w:rsid w:val="00E84167"/>
    <w:rsid w:val="00E8781D"/>
    <w:rsid w:val="00E8796D"/>
    <w:rsid w:val="00E9326C"/>
    <w:rsid w:val="00EA68B2"/>
    <w:rsid w:val="00EA6B71"/>
    <w:rsid w:val="00EC2E0E"/>
    <w:rsid w:val="00ED0816"/>
    <w:rsid w:val="00ED439F"/>
    <w:rsid w:val="00EE2CC7"/>
    <w:rsid w:val="00EE42C7"/>
    <w:rsid w:val="00EE72BB"/>
    <w:rsid w:val="00EF0EB0"/>
    <w:rsid w:val="00EF1602"/>
    <w:rsid w:val="00EF39C3"/>
    <w:rsid w:val="00EF60E0"/>
    <w:rsid w:val="00EF7470"/>
    <w:rsid w:val="00F012A9"/>
    <w:rsid w:val="00F03C83"/>
    <w:rsid w:val="00F069CD"/>
    <w:rsid w:val="00F2271B"/>
    <w:rsid w:val="00F33CC5"/>
    <w:rsid w:val="00F34B76"/>
    <w:rsid w:val="00F444A7"/>
    <w:rsid w:val="00F4451D"/>
    <w:rsid w:val="00F46EB0"/>
    <w:rsid w:val="00F548B1"/>
    <w:rsid w:val="00F62CCC"/>
    <w:rsid w:val="00F65626"/>
    <w:rsid w:val="00F737C9"/>
    <w:rsid w:val="00F76E4D"/>
    <w:rsid w:val="00F838A9"/>
    <w:rsid w:val="00F97498"/>
    <w:rsid w:val="00FA25AD"/>
    <w:rsid w:val="00FA67DC"/>
    <w:rsid w:val="00FC2A71"/>
    <w:rsid w:val="00FC7693"/>
    <w:rsid w:val="00FC796F"/>
    <w:rsid w:val="00FD16A0"/>
    <w:rsid w:val="00FD688B"/>
    <w:rsid w:val="00FF1F99"/>
    <w:rsid w:val="04F86AC8"/>
    <w:rsid w:val="05FC8BCC"/>
    <w:rsid w:val="063DF21B"/>
    <w:rsid w:val="0DBEC4B5"/>
    <w:rsid w:val="0F64F700"/>
    <w:rsid w:val="121C686A"/>
    <w:rsid w:val="1592103A"/>
    <w:rsid w:val="17C2023F"/>
    <w:rsid w:val="262BB1A3"/>
    <w:rsid w:val="28DDB029"/>
    <w:rsid w:val="2C3EBA45"/>
    <w:rsid w:val="357D8E39"/>
    <w:rsid w:val="37CEDDA1"/>
    <w:rsid w:val="39ED0A33"/>
    <w:rsid w:val="45BD8784"/>
    <w:rsid w:val="46FB124E"/>
    <w:rsid w:val="4A9093C1"/>
    <w:rsid w:val="4AC53B8E"/>
    <w:rsid w:val="51DD28DC"/>
    <w:rsid w:val="57FEBC9D"/>
    <w:rsid w:val="5839975B"/>
    <w:rsid w:val="5EE2CB1D"/>
    <w:rsid w:val="6112FB60"/>
    <w:rsid w:val="61AF5C57"/>
    <w:rsid w:val="6305CDB9"/>
    <w:rsid w:val="65B105AC"/>
    <w:rsid w:val="6878106B"/>
    <w:rsid w:val="6CF89ADA"/>
    <w:rsid w:val="7A31B08D"/>
    <w:rsid w:val="7C8E0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86AC8"/>
  <w15:chartTrackingRefBased/>
  <w15:docId w15:val="{910AC940-741F-416E-8845-A0513EA62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4E7"/>
    <w:pPr>
      <w:spacing w:after="120" w:line="240" w:lineRule="auto"/>
    </w:pPr>
    <w:rPr>
      <w:sz w:val="24"/>
    </w:rPr>
  </w:style>
  <w:style w:type="paragraph" w:styleId="Heading1">
    <w:name w:val="heading 1"/>
    <w:basedOn w:val="Normal"/>
    <w:next w:val="Normal"/>
    <w:link w:val="Heading1Char"/>
    <w:autoRedefine/>
    <w:uiPriority w:val="9"/>
    <w:qFormat/>
    <w:rsid w:val="00C957AE"/>
    <w:pPr>
      <w:keepNext/>
      <w:keepLines/>
      <w:numPr>
        <w:numId w:val="13"/>
      </w:numPr>
      <w:ind w:left="360"/>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EE42C7"/>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55D"/>
    <w:pPr>
      <w:tabs>
        <w:tab w:val="center" w:pos="4513"/>
        <w:tab w:val="right" w:pos="9026"/>
      </w:tabs>
      <w:spacing w:after="0"/>
    </w:pPr>
  </w:style>
  <w:style w:type="character" w:customStyle="1" w:styleId="HeaderChar">
    <w:name w:val="Header Char"/>
    <w:basedOn w:val="DefaultParagraphFont"/>
    <w:link w:val="Header"/>
    <w:uiPriority w:val="99"/>
    <w:rsid w:val="0074655D"/>
  </w:style>
  <w:style w:type="paragraph" w:styleId="Footer">
    <w:name w:val="footer"/>
    <w:basedOn w:val="Normal"/>
    <w:link w:val="FooterChar"/>
    <w:uiPriority w:val="99"/>
    <w:unhideWhenUsed/>
    <w:rsid w:val="0074655D"/>
    <w:pPr>
      <w:tabs>
        <w:tab w:val="center" w:pos="4513"/>
        <w:tab w:val="right" w:pos="9026"/>
      </w:tabs>
      <w:spacing w:after="0"/>
    </w:pPr>
  </w:style>
  <w:style w:type="character" w:customStyle="1" w:styleId="FooterChar">
    <w:name w:val="Footer Char"/>
    <w:basedOn w:val="DefaultParagraphFont"/>
    <w:link w:val="Footer"/>
    <w:uiPriority w:val="99"/>
    <w:rsid w:val="0074655D"/>
  </w:style>
  <w:style w:type="paragraph" w:styleId="ListParagraph">
    <w:name w:val="List Paragraph"/>
    <w:basedOn w:val="Normal"/>
    <w:uiPriority w:val="34"/>
    <w:qFormat/>
    <w:rsid w:val="00B44ADD"/>
    <w:pPr>
      <w:ind w:left="720"/>
      <w:contextualSpacing/>
    </w:pPr>
  </w:style>
  <w:style w:type="paragraph" w:styleId="FootnoteText">
    <w:name w:val="footnote text"/>
    <w:basedOn w:val="Normal"/>
    <w:link w:val="FootnoteTextChar"/>
    <w:uiPriority w:val="99"/>
    <w:semiHidden/>
    <w:unhideWhenUsed/>
    <w:rsid w:val="00F62CCC"/>
    <w:pPr>
      <w:spacing w:after="0"/>
    </w:pPr>
    <w:rPr>
      <w:sz w:val="20"/>
      <w:szCs w:val="20"/>
    </w:rPr>
  </w:style>
  <w:style w:type="character" w:customStyle="1" w:styleId="FootnoteTextChar">
    <w:name w:val="Footnote Text Char"/>
    <w:basedOn w:val="DefaultParagraphFont"/>
    <w:link w:val="FootnoteText"/>
    <w:uiPriority w:val="99"/>
    <w:semiHidden/>
    <w:rsid w:val="00F62CCC"/>
    <w:rPr>
      <w:sz w:val="20"/>
      <w:szCs w:val="20"/>
    </w:rPr>
  </w:style>
  <w:style w:type="character" w:styleId="FootnoteReference">
    <w:name w:val="footnote reference"/>
    <w:basedOn w:val="DefaultParagraphFont"/>
    <w:uiPriority w:val="99"/>
    <w:semiHidden/>
    <w:unhideWhenUsed/>
    <w:rsid w:val="00F62CCC"/>
    <w:rPr>
      <w:vertAlign w:val="superscript"/>
    </w:rPr>
  </w:style>
  <w:style w:type="character" w:styleId="Hyperlink">
    <w:name w:val="Hyperlink"/>
    <w:basedOn w:val="DefaultParagraphFont"/>
    <w:uiPriority w:val="99"/>
    <w:unhideWhenUsed/>
    <w:rsid w:val="00632EA9"/>
    <w:rPr>
      <w:color w:val="0563C1" w:themeColor="hyperlink"/>
      <w:u w:val="single"/>
    </w:rPr>
  </w:style>
  <w:style w:type="character" w:styleId="UnresolvedMention">
    <w:name w:val="Unresolved Mention"/>
    <w:basedOn w:val="DefaultParagraphFont"/>
    <w:uiPriority w:val="99"/>
    <w:unhideWhenUsed/>
    <w:rsid w:val="00632EA9"/>
    <w:rPr>
      <w:color w:val="605E5C"/>
      <w:shd w:val="clear" w:color="auto" w:fill="E1DFDD"/>
    </w:rPr>
  </w:style>
  <w:style w:type="table" w:styleId="TableGrid">
    <w:name w:val="Table Grid"/>
    <w:basedOn w:val="TableNormal"/>
    <w:uiPriority w:val="59"/>
    <w:rsid w:val="00151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0CB7"/>
    <w:rPr>
      <w:sz w:val="16"/>
      <w:szCs w:val="16"/>
    </w:rPr>
  </w:style>
  <w:style w:type="paragraph" w:styleId="CommentText">
    <w:name w:val="annotation text"/>
    <w:basedOn w:val="Normal"/>
    <w:link w:val="CommentTextChar"/>
    <w:uiPriority w:val="99"/>
    <w:unhideWhenUsed/>
    <w:rsid w:val="00CE0CB7"/>
    <w:rPr>
      <w:sz w:val="20"/>
      <w:szCs w:val="20"/>
    </w:rPr>
  </w:style>
  <w:style w:type="character" w:customStyle="1" w:styleId="CommentTextChar">
    <w:name w:val="Comment Text Char"/>
    <w:basedOn w:val="DefaultParagraphFont"/>
    <w:link w:val="CommentText"/>
    <w:uiPriority w:val="99"/>
    <w:rsid w:val="00CE0CB7"/>
    <w:rPr>
      <w:sz w:val="20"/>
      <w:szCs w:val="20"/>
    </w:rPr>
  </w:style>
  <w:style w:type="paragraph" w:styleId="CommentSubject">
    <w:name w:val="annotation subject"/>
    <w:basedOn w:val="CommentText"/>
    <w:next w:val="CommentText"/>
    <w:link w:val="CommentSubjectChar"/>
    <w:uiPriority w:val="99"/>
    <w:semiHidden/>
    <w:unhideWhenUsed/>
    <w:rsid w:val="00CE0CB7"/>
    <w:rPr>
      <w:b/>
      <w:bCs/>
    </w:rPr>
  </w:style>
  <w:style w:type="character" w:customStyle="1" w:styleId="CommentSubjectChar">
    <w:name w:val="Comment Subject Char"/>
    <w:basedOn w:val="CommentTextChar"/>
    <w:link w:val="CommentSubject"/>
    <w:uiPriority w:val="99"/>
    <w:semiHidden/>
    <w:rsid w:val="00CE0CB7"/>
    <w:rPr>
      <w:b/>
      <w:bCs/>
      <w:sz w:val="20"/>
      <w:szCs w:val="20"/>
    </w:rPr>
  </w:style>
  <w:style w:type="character" w:styleId="Mention">
    <w:name w:val="Mention"/>
    <w:basedOn w:val="DefaultParagraphFont"/>
    <w:uiPriority w:val="99"/>
    <w:unhideWhenUsed/>
    <w:rsid w:val="0014312F"/>
    <w:rPr>
      <w:color w:val="2B579A"/>
      <w:shd w:val="clear" w:color="auto" w:fill="E1DFDD"/>
    </w:rPr>
  </w:style>
  <w:style w:type="paragraph" w:styleId="Revision">
    <w:name w:val="Revision"/>
    <w:hidden/>
    <w:uiPriority w:val="99"/>
    <w:semiHidden/>
    <w:rsid w:val="00127125"/>
    <w:pPr>
      <w:spacing w:after="0" w:line="240" w:lineRule="auto"/>
    </w:pPr>
  </w:style>
  <w:style w:type="character" w:customStyle="1" w:styleId="Heading2Char">
    <w:name w:val="Heading 2 Char"/>
    <w:basedOn w:val="DefaultParagraphFont"/>
    <w:link w:val="Heading2"/>
    <w:uiPriority w:val="9"/>
    <w:rsid w:val="00EE42C7"/>
    <w:rPr>
      <w:rFonts w:eastAsiaTheme="majorEastAsia" w:cstheme="majorBidi"/>
      <w:b/>
      <w:sz w:val="24"/>
      <w:szCs w:val="26"/>
    </w:rPr>
  </w:style>
  <w:style w:type="character" w:customStyle="1" w:styleId="Heading1Char">
    <w:name w:val="Heading 1 Char"/>
    <w:basedOn w:val="DefaultParagraphFont"/>
    <w:link w:val="Heading1"/>
    <w:uiPriority w:val="9"/>
    <w:rsid w:val="00C957AE"/>
    <w:rPr>
      <w:rFonts w:eastAsiaTheme="majorEastAsia" w:cstheme="majorBidi"/>
      <w:b/>
      <w:sz w:val="28"/>
      <w:szCs w:val="32"/>
    </w:rPr>
  </w:style>
  <w:style w:type="paragraph" w:styleId="Title">
    <w:name w:val="Title"/>
    <w:basedOn w:val="Normal"/>
    <w:next w:val="Normal"/>
    <w:link w:val="TitleChar"/>
    <w:autoRedefine/>
    <w:uiPriority w:val="10"/>
    <w:qFormat/>
    <w:rsid w:val="00F76E4D"/>
    <w:pPr>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F76E4D"/>
    <w:rPr>
      <w:rFonts w:eastAsiaTheme="majorEastAsia" w:cstheme="majorBidi"/>
      <w:spacing w:val="-10"/>
      <w:kern w:val="28"/>
      <w:sz w:val="40"/>
      <w:szCs w:val="56"/>
    </w:rPr>
  </w:style>
  <w:style w:type="paragraph" w:styleId="Subtitle">
    <w:name w:val="Subtitle"/>
    <w:basedOn w:val="Normal"/>
    <w:next w:val="Normal"/>
    <w:link w:val="SubtitleChar"/>
    <w:uiPriority w:val="11"/>
    <w:qFormat/>
    <w:rsid w:val="00F76E4D"/>
    <w:pPr>
      <w:numPr>
        <w:ilvl w:val="1"/>
      </w:numPr>
    </w:pPr>
    <w:rPr>
      <w:rFonts w:eastAsiaTheme="minorEastAsia"/>
      <w:b/>
      <w:spacing w:val="15"/>
      <w:sz w:val="40"/>
    </w:rPr>
  </w:style>
  <w:style w:type="character" w:customStyle="1" w:styleId="SubtitleChar">
    <w:name w:val="Subtitle Char"/>
    <w:basedOn w:val="DefaultParagraphFont"/>
    <w:link w:val="Subtitle"/>
    <w:uiPriority w:val="11"/>
    <w:rsid w:val="00F76E4D"/>
    <w:rPr>
      <w:rFonts w:eastAsiaTheme="minorEastAsia"/>
      <w:b/>
      <w:spacing w:val="15"/>
      <w:sz w:val="40"/>
    </w:rPr>
  </w:style>
  <w:style w:type="paragraph" w:customStyle="1" w:styleId="paragraph">
    <w:name w:val="paragraph"/>
    <w:basedOn w:val="Normal"/>
    <w:rsid w:val="009D0ACD"/>
    <w:pPr>
      <w:spacing w:before="100" w:beforeAutospacing="1" w:after="100" w:afterAutospacing="1"/>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9D0ACD"/>
  </w:style>
  <w:style w:type="paragraph" w:styleId="NormalWeb">
    <w:name w:val="Normal (Web)"/>
    <w:basedOn w:val="Normal"/>
    <w:uiPriority w:val="99"/>
    <w:unhideWhenUsed/>
    <w:rsid w:val="0012172C"/>
    <w:pPr>
      <w:spacing w:before="100" w:beforeAutospacing="1" w:after="100" w:afterAutospacing="1"/>
    </w:pPr>
    <w:rPr>
      <w:rFonts w:ascii="Times New Roman" w:eastAsia="Times New Roman" w:hAnsi="Times New Roman" w:cs="Times New Roman"/>
      <w:szCs w:val="24"/>
      <w:lang w:val="en-AU" w:eastAsia="en-AU"/>
    </w:rPr>
  </w:style>
  <w:style w:type="character" w:styleId="Strong">
    <w:name w:val="Strong"/>
    <w:basedOn w:val="DefaultParagraphFont"/>
    <w:uiPriority w:val="22"/>
    <w:qFormat/>
    <w:rsid w:val="001217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3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0917138DAA0A45AE1E2D3F2F9502BA" ma:contentTypeVersion="17" ma:contentTypeDescription="Create a new document." ma:contentTypeScope="" ma:versionID="0ec36f5c96ae8d9adcee4e2f06323cce">
  <xsd:schema xmlns:xsd="http://www.w3.org/2001/XMLSchema" xmlns:xs="http://www.w3.org/2001/XMLSchema" xmlns:p="http://schemas.microsoft.com/office/2006/metadata/properties" xmlns:ns2="e8580fbf-fecb-4fba-8dba-8b20d897af13" xmlns:ns3="5f459a40-6e34-430e-9c35-374e313ec46c" targetNamespace="http://schemas.microsoft.com/office/2006/metadata/properties" ma:root="true" ma:fieldsID="6d0cec10baa05b8fab1c47c389c53052" ns2:_="" ns3:_="">
    <xsd:import namespace="e8580fbf-fecb-4fba-8dba-8b20d897af13"/>
    <xsd:import namespace="5f459a40-6e34-430e-9c35-374e313ec4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80fbf-fecb-4fba-8dba-8b20d897a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59a40-6e34-430e-9c35-374e313ec4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d6bec-2097-4e28-9dee-d802665faa3c}" ma:internalName="TaxCatchAll" ma:showField="CatchAllData" ma:web="5f459a40-6e34-430e-9c35-374e313ec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f459a40-6e34-430e-9c35-374e313ec46c">
      <UserInfo>
        <DisplayName>Sara Martins</DisplayName>
        <AccountId>161</AccountId>
        <AccountType/>
      </UserInfo>
    </SharedWithUsers>
    <TaxCatchAll xmlns="5f459a40-6e34-430e-9c35-374e313ec46c" xsi:nil="true"/>
    <lcf76f155ced4ddcb4097134ff3c332f xmlns="e8580fbf-fecb-4fba-8dba-8b20d897af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FFCBE-6581-4239-BAA5-22690946A8DA}">
  <ds:schemaRefs>
    <ds:schemaRef ds:uri="http://schemas.microsoft.com/sharepoint/v3/contenttype/forms"/>
  </ds:schemaRefs>
</ds:datastoreItem>
</file>

<file path=customXml/itemProps2.xml><?xml version="1.0" encoding="utf-8"?>
<ds:datastoreItem xmlns:ds="http://schemas.openxmlformats.org/officeDocument/2006/customXml" ds:itemID="{414205BE-9505-40F1-AA02-1F249E794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80fbf-fecb-4fba-8dba-8b20d897af13"/>
    <ds:schemaRef ds:uri="5f459a40-6e34-430e-9c35-374e313ec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3F126-874E-436A-999D-7E4A7E0B7FB7}">
  <ds:schemaRefs>
    <ds:schemaRef ds:uri="http://purl.org/dc/elements/1.1/"/>
    <ds:schemaRef ds:uri="5f459a40-6e34-430e-9c35-374e313ec46c"/>
    <ds:schemaRef ds:uri="http://schemas.microsoft.com/office/2006/documentManagement/types"/>
    <ds:schemaRef ds:uri="http://schemas.microsoft.com/office/2006/metadata/properties"/>
    <ds:schemaRef ds:uri="http://www.w3.org/XML/1998/namespace"/>
    <ds:schemaRef ds:uri="http://purl.org/dc/dcmitype/"/>
    <ds:schemaRef ds:uri="e8580fbf-fecb-4fba-8dba-8b20d897af13"/>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AA460A0F-DDCF-4BCB-94C3-6F77B3FCC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2299</Words>
  <Characters>13107</Characters>
  <Application>Microsoft Office Word</Application>
  <DocSecurity>0</DocSecurity>
  <Lines>109</Lines>
  <Paragraphs>30</Paragraphs>
  <ScaleCrop>false</ScaleCrop>
  <Company/>
  <LinksUpToDate>false</LinksUpToDate>
  <CharactersWithSpaces>15376</CharactersWithSpaces>
  <SharedDoc>false</SharedDoc>
  <HLinks>
    <vt:vector size="18" baseType="variant">
      <vt:variant>
        <vt:i4>2883628</vt:i4>
      </vt:variant>
      <vt:variant>
        <vt:i4>6</vt:i4>
      </vt:variant>
      <vt:variant>
        <vt:i4>0</vt:i4>
      </vt:variant>
      <vt:variant>
        <vt:i4>5</vt:i4>
      </vt:variant>
      <vt:variant>
        <vt:lpwstr>https://www.dss.gov.au/our-responsibilities/disability-and-carers/program-services/for-people-with-disability/national-disability-advocacy-program-ndap</vt:lpwstr>
      </vt:variant>
      <vt:variant>
        <vt:lpwstr/>
      </vt:variant>
      <vt:variant>
        <vt:i4>7143494</vt:i4>
      </vt:variant>
      <vt:variant>
        <vt:i4>3</vt:i4>
      </vt:variant>
      <vt:variant>
        <vt:i4>0</vt:i4>
      </vt:variant>
      <vt:variant>
        <vt:i4>5</vt:i4>
      </vt:variant>
      <vt:variant>
        <vt:lpwstr>https://www.dss.gov.au/sites/default/files/documents/11_2014/attachment_a.2_-_national_disability_advocacy_framework.pdf</vt:lpwstr>
      </vt:variant>
      <vt:variant>
        <vt:lpwstr/>
      </vt:variant>
      <vt:variant>
        <vt:i4>7405610</vt:i4>
      </vt:variant>
      <vt:variant>
        <vt:i4>0</vt:i4>
      </vt:variant>
      <vt:variant>
        <vt:i4>0</vt:i4>
      </vt:variant>
      <vt:variant>
        <vt:i4>5</vt:i4>
      </vt:variant>
      <vt:variant>
        <vt:lpwstr>https://disability.royalcommission.gov.au/news-and-media/media-releases/people-disability-face-much-greater-risk-violence-people-without-disability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Wolf</dc:creator>
  <cp:keywords/>
  <dc:description/>
  <cp:lastModifiedBy>Russel Correa</cp:lastModifiedBy>
  <cp:revision>2</cp:revision>
  <dcterms:created xsi:type="dcterms:W3CDTF">2025-09-17T01:41:00Z</dcterms:created>
  <dcterms:modified xsi:type="dcterms:W3CDTF">2025-09-17T01:41:00Z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0x010100F60917138DAA0A45AE1E2D3F2F9502BA</vt:lpwstr>
  </property>
  <property fmtid="{D5CDD505-2E9C-101B-9397-08002B2CF9AE}" pid="3" name="MediaServiceImageTags">
    <vt:lpwstr/>
  </property>
  <property fmtid="{D5CDD505-2E9C-101B-9397-08002B2CF9AE}" pid="4" name="Order">
    <vt:r8>19261700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