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6612" w14:textId="6A6BFAD0" w:rsidR="00C8226E" w:rsidRPr="004601F1" w:rsidRDefault="00C8226E" w:rsidP="00E55601">
      <w:pPr>
        <w:jc w:val="right"/>
        <w:rPr>
          <w:rFonts w:ascii="Nunito Sans" w:hAnsi="Nunito Sans"/>
          <w:sz w:val="20"/>
          <w:szCs w:val="20"/>
          <w:lang w:val="en-AU"/>
        </w:rPr>
      </w:pPr>
    </w:p>
    <w:p w14:paraId="0FE1B7C1" w14:textId="77777777" w:rsidR="003A4839" w:rsidRPr="004601F1" w:rsidRDefault="003A4839" w:rsidP="00E55601">
      <w:pPr>
        <w:jc w:val="right"/>
        <w:rPr>
          <w:rFonts w:ascii="Nunito Sans" w:hAnsi="Nunito Sans"/>
          <w:sz w:val="20"/>
          <w:szCs w:val="20"/>
          <w:lang w:val="en-AU"/>
        </w:rPr>
      </w:pPr>
    </w:p>
    <w:p w14:paraId="61531A4A" w14:textId="77777777" w:rsidR="003A4839" w:rsidRPr="004601F1" w:rsidRDefault="003A4839" w:rsidP="00E55601">
      <w:pPr>
        <w:jc w:val="right"/>
        <w:rPr>
          <w:rFonts w:ascii="Nunito Sans" w:hAnsi="Nunito Sans"/>
          <w:sz w:val="20"/>
          <w:szCs w:val="20"/>
          <w:lang w:val="en-AU"/>
        </w:rPr>
      </w:pPr>
    </w:p>
    <w:p w14:paraId="4C24650B" w14:textId="77777777" w:rsidR="004601F1" w:rsidRDefault="004601F1" w:rsidP="00E55601">
      <w:pPr>
        <w:jc w:val="right"/>
        <w:rPr>
          <w:rFonts w:ascii="Nunito Sans" w:hAnsi="Nunito Sans"/>
          <w:sz w:val="20"/>
          <w:szCs w:val="20"/>
          <w:lang w:val="en-AU"/>
        </w:rPr>
      </w:pPr>
    </w:p>
    <w:p w14:paraId="2B4540DF" w14:textId="77777777" w:rsidR="003A4839" w:rsidRPr="004601F1" w:rsidRDefault="003A4839" w:rsidP="00E55601">
      <w:pPr>
        <w:jc w:val="right"/>
        <w:rPr>
          <w:rFonts w:ascii="Nunito Sans" w:hAnsi="Nunito Sans"/>
          <w:sz w:val="20"/>
          <w:szCs w:val="20"/>
          <w:lang w:val="en-AU"/>
        </w:rPr>
      </w:pPr>
    </w:p>
    <w:p w14:paraId="1AD677BE" w14:textId="77777777" w:rsidR="003A4839" w:rsidRPr="004601F1" w:rsidRDefault="003A4839" w:rsidP="00E55601">
      <w:pPr>
        <w:jc w:val="right"/>
        <w:rPr>
          <w:rFonts w:ascii="Nunito Sans" w:hAnsi="Nunito Sans"/>
          <w:sz w:val="20"/>
          <w:szCs w:val="20"/>
          <w:lang w:val="en-AU"/>
        </w:rPr>
      </w:pPr>
    </w:p>
    <w:p w14:paraId="30BC6780" w14:textId="77777777" w:rsidR="003A4839" w:rsidRPr="004601F1" w:rsidRDefault="003A4839" w:rsidP="00E55601">
      <w:pPr>
        <w:jc w:val="right"/>
        <w:rPr>
          <w:rFonts w:ascii="Nunito Sans" w:hAnsi="Nunito Sans"/>
          <w:sz w:val="20"/>
          <w:szCs w:val="20"/>
          <w:lang w:val="en-AU"/>
        </w:rPr>
      </w:pPr>
    </w:p>
    <w:p w14:paraId="46DB6B2C" w14:textId="77777777" w:rsidR="003A4839" w:rsidRPr="004601F1" w:rsidRDefault="003A4839" w:rsidP="00E55601">
      <w:pPr>
        <w:jc w:val="right"/>
        <w:rPr>
          <w:rFonts w:ascii="Nunito Sans" w:hAnsi="Nunito Sans"/>
          <w:sz w:val="20"/>
          <w:szCs w:val="20"/>
          <w:lang w:val="en-AU"/>
        </w:rPr>
      </w:pPr>
    </w:p>
    <w:p w14:paraId="6AAB505F" w14:textId="2B099281" w:rsidR="003A4839" w:rsidRPr="004601F1" w:rsidRDefault="00A84B0A" w:rsidP="00A84B0A">
      <w:pPr>
        <w:tabs>
          <w:tab w:val="left" w:pos="7995"/>
        </w:tabs>
        <w:rPr>
          <w:rFonts w:ascii="Nunito Sans" w:hAnsi="Nunito Sans"/>
          <w:sz w:val="20"/>
          <w:szCs w:val="20"/>
          <w:lang w:val="en-AU"/>
        </w:rPr>
      </w:pPr>
      <w:r>
        <w:rPr>
          <w:rFonts w:ascii="Nunito Sans" w:hAnsi="Nunito Sans"/>
          <w:sz w:val="20"/>
          <w:szCs w:val="20"/>
          <w:lang w:val="en-AU"/>
        </w:rPr>
        <w:tab/>
      </w:r>
    </w:p>
    <w:p w14:paraId="4937411A" w14:textId="77777777" w:rsidR="003A4839" w:rsidRPr="004601F1" w:rsidRDefault="003A4839" w:rsidP="00E55601">
      <w:pPr>
        <w:jc w:val="right"/>
        <w:rPr>
          <w:rFonts w:ascii="Nunito Sans" w:hAnsi="Nunito Sans"/>
          <w:sz w:val="20"/>
          <w:szCs w:val="20"/>
          <w:lang w:val="en-AU"/>
        </w:rPr>
      </w:pPr>
    </w:p>
    <w:p w14:paraId="67C94E32" w14:textId="77777777" w:rsidR="003A4839" w:rsidRPr="004601F1" w:rsidRDefault="003A4839" w:rsidP="00E55601">
      <w:pPr>
        <w:jc w:val="right"/>
        <w:rPr>
          <w:rFonts w:ascii="Nunito Sans" w:hAnsi="Nunito Sans"/>
          <w:sz w:val="20"/>
          <w:szCs w:val="20"/>
          <w:lang w:val="en-AU"/>
        </w:rPr>
      </w:pPr>
    </w:p>
    <w:p w14:paraId="30C9C682" w14:textId="77777777" w:rsidR="003A4839" w:rsidRDefault="003A4839" w:rsidP="00E55601">
      <w:pPr>
        <w:jc w:val="right"/>
        <w:rPr>
          <w:rFonts w:ascii="Nunito Sans" w:hAnsi="Nunito Sans"/>
          <w:sz w:val="20"/>
          <w:szCs w:val="20"/>
          <w:lang w:val="en-AU"/>
        </w:rPr>
      </w:pPr>
    </w:p>
    <w:p w14:paraId="47D123BF" w14:textId="77777777" w:rsidR="00E55601" w:rsidRDefault="00E55601" w:rsidP="00E55601">
      <w:pPr>
        <w:jc w:val="right"/>
        <w:rPr>
          <w:rFonts w:ascii="Nunito Sans" w:hAnsi="Nunito Sans"/>
          <w:sz w:val="20"/>
          <w:szCs w:val="20"/>
          <w:lang w:val="en-AU"/>
        </w:rPr>
      </w:pPr>
    </w:p>
    <w:p w14:paraId="3D552AE8" w14:textId="77777777" w:rsidR="00E55601" w:rsidRDefault="00E55601" w:rsidP="00E55601">
      <w:pPr>
        <w:jc w:val="right"/>
        <w:rPr>
          <w:rFonts w:ascii="Nunito Sans" w:hAnsi="Nunito Sans"/>
          <w:sz w:val="20"/>
          <w:szCs w:val="20"/>
          <w:lang w:val="en-AU"/>
        </w:rPr>
      </w:pPr>
    </w:p>
    <w:p w14:paraId="075BDBEE" w14:textId="77777777" w:rsidR="00E55601" w:rsidRDefault="00E55601" w:rsidP="00E55601">
      <w:pPr>
        <w:jc w:val="right"/>
        <w:rPr>
          <w:rFonts w:ascii="Nunito Sans" w:hAnsi="Nunito Sans"/>
          <w:sz w:val="20"/>
          <w:szCs w:val="20"/>
          <w:lang w:val="en-AU"/>
        </w:rPr>
      </w:pPr>
    </w:p>
    <w:p w14:paraId="6A10DE2C" w14:textId="77777777" w:rsidR="00E55601" w:rsidRDefault="00E55601" w:rsidP="00E55601">
      <w:pPr>
        <w:jc w:val="right"/>
        <w:rPr>
          <w:rFonts w:ascii="Nunito Sans" w:hAnsi="Nunito Sans"/>
          <w:sz w:val="20"/>
          <w:szCs w:val="20"/>
          <w:lang w:val="en-AU"/>
        </w:rPr>
      </w:pPr>
    </w:p>
    <w:p w14:paraId="24283E57" w14:textId="77777777" w:rsidR="00E55601" w:rsidRDefault="00E55601" w:rsidP="00E55601">
      <w:pPr>
        <w:jc w:val="right"/>
        <w:rPr>
          <w:rFonts w:ascii="Nunito Sans" w:hAnsi="Nunito Sans"/>
          <w:sz w:val="20"/>
          <w:szCs w:val="20"/>
          <w:lang w:val="en-AU"/>
        </w:rPr>
      </w:pPr>
    </w:p>
    <w:p w14:paraId="36EC48DA" w14:textId="77777777" w:rsidR="00E55601" w:rsidRDefault="00E55601" w:rsidP="00E55601">
      <w:pPr>
        <w:jc w:val="right"/>
        <w:rPr>
          <w:rFonts w:ascii="Nunito Sans" w:hAnsi="Nunito Sans"/>
          <w:sz w:val="20"/>
          <w:szCs w:val="20"/>
          <w:lang w:val="en-AU"/>
        </w:rPr>
      </w:pPr>
    </w:p>
    <w:p w14:paraId="21B3A458" w14:textId="77777777" w:rsidR="00E55601" w:rsidRDefault="00E55601" w:rsidP="00E55601">
      <w:pPr>
        <w:jc w:val="right"/>
        <w:rPr>
          <w:rFonts w:ascii="Nunito Sans" w:hAnsi="Nunito Sans"/>
          <w:sz w:val="20"/>
          <w:szCs w:val="20"/>
          <w:lang w:val="en-AU"/>
        </w:rPr>
      </w:pPr>
    </w:p>
    <w:p w14:paraId="03B492F2" w14:textId="77777777" w:rsidR="00E55601" w:rsidRDefault="00E55601" w:rsidP="00E55601">
      <w:pPr>
        <w:jc w:val="right"/>
        <w:rPr>
          <w:rFonts w:ascii="Nunito Sans" w:hAnsi="Nunito Sans"/>
          <w:sz w:val="20"/>
          <w:szCs w:val="20"/>
          <w:lang w:val="en-AU"/>
        </w:rPr>
      </w:pPr>
    </w:p>
    <w:p w14:paraId="417612A0" w14:textId="77777777" w:rsidR="00E55601" w:rsidRDefault="00E55601" w:rsidP="00E55601">
      <w:pPr>
        <w:jc w:val="right"/>
        <w:rPr>
          <w:rFonts w:ascii="Nunito Sans" w:hAnsi="Nunito Sans"/>
          <w:sz w:val="20"/>
          <w:szCs w:val="20"/>
          <w:lang w:val="en-AU"/>
        </w:rPr>
      </w:pPr>
    </w:p>
    <w:p w14:paraId="69B54D41" w14:textId="77777777" w:rsidR="00E55601" w:rsidRDefault="00E55601" w:rsidP="00E55601">
      <w:pPr>
        <w:jc w:val="right"/>
        <w:rPr>
          <w:rFonts w:ascii="Nunito Sans" w:hAnsi="Nunito Sans"/>
          <w:sz w:val="20"/>
          <w:szCs w:val="20"/>
          <w:lang w:val="en-AU"/>
        </w:rPr>
      </w:pPr>
    </w:p>
    <w:p w14:paraId="6B619B3D" w14:textId="77777777" w:rsidR="00E55601" w:rsidRDefault="00E55601" w:rsidP="00E55601">
      <w:pPr>
        <w:jc w:val="right"/>
        <w:rPr>
          <w:rFonts w:ascii="Nunito Sans" w:hAnsi="Nunito Sans"/>
          <w:sz w:val="20"/>
          <w:szCs w:val="20"/>
          <w:lang w:val="en-AU"/>
        </w:rPr>
      </w:pPr>
    </w:p>
    <w:p w14:paraId="1A8D7131" w14:textId="77777777" w:rsidR="00E55601" w:rsidRDefault="00E55601" w:rsidP="00E55601">
      <w:pPr>
        <w:jc w:val="right"/>
        <w:rPr>
          <w:rFonts w:ascii="Nunito Sans" w:hAnsi="Nunito Sans"/>
          <w:sz w:val="20"/>
          <w:szCs w:val="20"/>
          <w:lang w:val="en-AU"/>
        </w:rPr>
      </w:pPr>
    </w:p>
    <w:p w14:paraId="3F3C2C5C" w14:textId="77777777" w:rsidR="00E55601" w:rsidRDefault="00E55601" w:rsidP="00E55601">
      <w:pPr>
        <w:jc w:val="right"/>
        <w:rPr>
          <w:rFonts w:ascii="Nunito Sans" w:hAnsi="Nunito Sans"/>
          <w:sz w:val="20"/>
          <w:szCs w:val="20"/>
          <w:lang w:val="en-AU"/>
        </w:rPr>
      </w:pPr>
    </w:p>
    <w:p w14:paraId="027E8ACF" w14:textId="77777777" w:rsidR="00E55601" w:rsidRDefault="00E55601" w:rsidP="00E55601">
      <w:pPr>
        <w:jc w:val="right"/>
        <w:rPr>
          <w:rFonts w:ascii="Nunito Sans" w:hAnsi="Nunito Sans"/>
          <w:sz w:val="20"/>
          <w:szCs w:val="20"/>
          <w:lang w:val="en-AU"/>
        </w:rPr>
      </w:pPr>
    </w:p>
    <w:p w14:paraId="4B9FE251" w14:textId="77777777" w:rsidR="00E55601" w:rsidRDefault="00E55601" w:rsidP="00E55601">
      <w:pPr>
        <w:jc w:val="right"/>
        <w:rPr>
          <w:rFonts w:ascii="Nunito Sans" w:hAnsi="Nunito Sans"/>
          <w:sz w:val="20"/>
          <w:szCs w:val="20"/>
          <w:lang w:val="en-AU"/>
        </w:rPr>
      </w:pPr>
    </w:p>
    <w:p w14:paraId="4FBA2354" w14:textId="77777777" w:rsidR="00E55601" w:rsidRDefault="00E55601" w:rsidP="00E55601">
      <w:pPr>
        <w:jc w:val="right"/>
        <w:rPr>
          <w:rFonts w:ascii="Nunito Sans" w:hAnsi="Nunito Sans"/>
          <w:sz w:val="20"/>
          <w:szCs w:val="20"/>
          <w:lang w:val="en-AU"/>
        </w:rPr>
      </w:pPr>
    </w:p>
    <w:p w14:paraId="32EA3F8F" w14:textId="77777777" w:rsidR="00E55601" w:rsidRDefault="00E55601" w:rsidP="00E55601">
      <w:pPr>
        <w:jc w:val="right"/>
        <w:rPr>
          <w:rFonts w:ascii="Nunito Sans" w:hAnsi="Nunito Sans"/>
          <w:sz w:val="20"/>
          <w:szCs w:val="20"/>
          <w:lang w:val="en-AU"/>
        </w:rPr>
      </w:pPr>
    </w:p>
    <w:p w14:paraId="5F9515F5" w14:textId="77777777" w:rsidR="00E55601" w:rsidRDefault="00E55601" w:rsidP="00E55601">
      <w:pPr>
        <w:jc w:val="right"/>
        <w:rPr>
          <w:rFonts w:ascii="Nunito Sans" w:hAnsi="Nunito Sans"/>
          <w:sz w:val="20"/>
          <w:szCs w:val="20"/>
          <w:lang w:val="en-AU"/>
        </w:rPr>
      </w:pPr>
    </w:p>
    <w:p w14:paraId="75783D01" w14:textId="77777777" w:rsidR="00E55601" w:rsidRDefault="00E55601" w:rsidP="00E55601">
      <w:pPr>
        <w:jc w:val="right"/>
        <w:rPr>
          <w:rFonts w:ascii="Nunito Sans" w:hAnsi="Nunito Sans"/>
          <w:sz w:val="20"/>
          <w:szCs w:val="20"/>
          <w:lang w:val="en-AU"/>
        </w:rPr>
      </w:pPr>
    </w:p>
    <w:p w14:paraId="20C949E0" w14:textId="77777777" w:rsidR="00E55601" w:rsidRPr="000A3756" w:rsidRDefault="00E55601" w:rsidP="00E55601">
      <w:pPr>
        <w:jc w:val="right"/>
        <w:rPr>
          <w:rFonts w:ascii="Nunito Sans" w:hAnsi="Nunito Sans"/>
          <w:lang w:val="en-AU"/>
        </w:rPr>
      </w:pPr>
    </w:p>
    <w:p w14:paraId="28EC82E7" w14:textId="37C4276D" w:rsidR="00E55601" w:rsidRPr="00A57463" w:rsidRDefault="00EF467D" w:rsidP="00F11451">
      <w:pPr>
        <w:rPr>
          <w:rFonts w:ascii="Nunito Sans" w:hAnsi="Nunito Sans"/>
          <w:b/>
          <w:bCs/>
          <w:color w:val="FFFFFF" w:themeColor="background1"/>
          <w:sz w:val="60"/>
          <w:szCs w:val="60"/>
          <w:lang w:val="en-US"/>
        </w:rPr>
      </w:pPr>
      <w:bookmarkStart w:id="0" w:name="_Hlk198715925"/>
      <w:r w:rsidRPr="00A57463">
        <w:rPr>
          <w:rFonts w:ascii="Nunito Sans" w:hAnsi="Nunito Sans"/>
          <w:b/>
          <w:bCs/>
          <w:color w:val="FFFFFF" w:themeColor="background1"/>
          <w:sz w:val="60"/>
          <w:szCs w:val="60"/>
          <w:lang w:val="en-US"/>
        </w:rPr>
        <w:t xml:space="preserve">QIDAN </w:t>
      </w:r>
      <w:r w:rsidR="00091B51" w:rsidRPr="00A57463">
        <w:rPr>
          <w:rFonts w:ascii="Nunito Sans" w:hAnsi="Nunito Sans"/>
          <w:b/>
          <w:bCs/>
          <w:color w:val="FFFFFF" w:themeColor="background1"/>
          <w:sz w:val="60"/>
          <w:szCs w:val="60"/>
          <w:lang w:val="en-US"/>
        </w:rPr>
        <w:t xml:space="preserve">Submission to the </w:t>
      </w:r>
      <w:r w:rsidR="00856C91">
        <w:rPr>
          <w:rFonts w:ascii="Nunito Sans" w:hAnsi="Nunito Sans"/>
          <w:b/>
          <w:bCs/>
          <w:color w:val="FFFFFF" w:themeColor="background1"/>
          <w:sz w:val="60"/>
          <w:szCs w:val="60"/>
          <w:lang w:val="en-US"/>
        </w:rPr>
        <w:t>Disability Discrimination Act 1992 Review</w:t>
      </w:r>
    </w:p>
    <w:bookmarkEnd w:id="0"/>
    <w:p w14:paraId="1466ABEA" w14:textId="77777777" w:rsidR="00E55601" w:rsidRDefault="00E55601" w:rsidP="00F11451">
      <w:pPr>
        <w:rPr>
          <w:rFonts w:ascii="Nunito Sans" w:hAnsi="Nunito Sans"/>
          <w:color w:val="FFFFFF" w:themeColor="background1"/>
          <w:sz w:val="30"/>
          <w:szCs w:val="30"/>
          <w:lang w:val="en-US"/>
        </w:rPr>
      </w:pPr>
    </w:p>
    <w:p w14:paraId="41DDFB3C" w14:textId="36E96579" w:rsidR="00E55601" w:rsidRDefault="00AB4A7D" w:rsidP="00F11451">
      <w:pPr>
        <w:rPr>
          <w:rFonts w:ascii="Nunito Sans" w:hAnsi="Nunito Sans"/>
          <w:color w:val="FFFFFF" w:themeColor="background1"/>
          <w:lang w:val="en-US"/>
        </w:rPr>
      </w:pPr>
      <w:r>
        <w:rPr>
          <w:rFonts w:ascii="Nunito Sans" w:hAnsi="Nunito Sans"/>
          <w:color w:val="FFFFFF" w:themeColor="background1"/>
          <w:lang w:val="en-US"/>
        </w:rPr>
        <w:t>November</w:t>
      </w:r>
      <w:r w:rsidR="0004178B">
        <w:rPr>
          <w:rFonts w:ascii="Nunito Sans" w:hAnsi="Nunito Sans"/>
          <w:color w:val="FFFFFF" w:themeColor="background1"/>
          <w:lang w:val="en-US"/>
        </w:rPr>
        <w:t xml:space="preserve"> 2025</w:t>
      </w:r>
    </w:p>
    <w:p w14:paraId="7BFC14B8" w14:textId="77777777" w:rsidR="002C77FC" w:rsidRDefault="002C77FC" w:rsidP="00F11451">
      <w:pPr>
        <w:rPr>
          <w:rFonts w:ascii="Nunito Sans" w:hAnsi="Nunito Sans"/>
          <w:color w:val="FFFFFF" w:themeColor="background1"/>
          <w:lang w:val="en-US"/>
        </w:rPr>
      </w:pPr>
    </w:p>
    <w:p w14:paraId="10B3D494" w14:textId="77777777" w:rsidR="002C77FC" w:rsidRDefault="002C77FC" w:rsidP="00E55601">
      <w:pPr>
        <w:jc w:val="right"/>
        <w:rPr>
          <w:rFonts w:ascii="Nunito Sans" w:hAnsi="Nunito Sans"/>
          <w:color w:val="FFFFFF" w:themeColor="background1"/>
          <w:lang w:val="en-US"/>
        </w:rPr>
      </w:pPr>
    </w:p>
    <w:p w14:paraId="49024706" w14:textId="77777777" w:rsidR="000B7CD4" w:rsidRDefault="000B7CD4" w:rsidP="000B7CD4">
      <w:pPr>
        <w:rPr>
          <w:rFonts w:ascii="Nunito Sans" w:hAnsi="Nunito Sans"/>
          <w:color w:val="FFFFFF" w:themeColor="background1"/>
          <w:lang w:val="en-US"/>
        </w:rPr>
      </w:pPr>
    </w:p>
    <w:p w14:paraId="0632B693" w14:textId="77777777" w:rsidR="007820CD" w:rsidRPr="000B7CD4" w:rsidRDefault="007820CD" w:rsidP="000B7CD4"/>
    <w:sdt>
      <w:sdtPr>
        <w:rPr>
          <w:rFonts w:ascii="Nunito" w:eastAsiaTheme="minorEastAsia" w:hAnsi="Nunito" w:cstheme="minorBidi"/>
          <w:color w:val="auto"/>
          <w:kern w:val="2"/>
          <w:sz w:val="24"/>
          <w:szCs w:val="24"/>
          <w:lang w:val="en-AU"/>
          <w14:ligatures w14:val="standardContextual"/>
        </w:rPr>
        <w:id w:val="1041479077"/>
        <w:docPartObj>
          <w:docPartGallery w:val="Table of Contents"/>
          <w:docPartUnique/>
        </w:docPartObj>
      </w:sdtPr>
      <w:sdtEndPr>
        <w:rPr>
          <w:rFonts w:asciiTheme="minorHAnsi" w:hAnsiTheme="minorHAnsi"/>
          <w:b/>
          <w:bCs/>
          <w:lang w:val="en-GB"/>
        </w:rPr>
      </w:sdtEndPr>
      <w:sdtContent>
        <w:p w14:paraId="22A33EB6" w14:textId="77777777" w:rsidR="000B7CD4" w:rsidRPr="00C632EC" w:rsidRDefault="000B7CD4" w:rsidP="000B7CD4">
          <w:pPr>
            <w:pStyle w:val="TOCHeading"/>
            <w:rPr>
              <w:rFonts w:ascii="Poppins SemiBold" w:hAnsi="Poppins SemiBold" w:cs="Poppins SemiBold"/>
              <w:b/>
              <w:color w:val="690048"/>
              <w:kern w:val="2"/>
              <w:sz w:val="26"/>
              <w:szCs w:val="26"/>
              <w:lang w:val="en-AU"/>
              <w14:ligatures w14:val="standardContextual"/>
            </w:rPr>
          </w:pPr>
          <w:r w:rsidRPr="00C632EC">
            <w:rPr>
              <w:rFonts w:ascii="Poppins SemiBold" w:hAnsi="Poppins SemiBold" w:cs="Poppins SemiBold"/>
              <w:b/>
              <w:color w:val="690048"/>
              <w:kern w:val="2"/>
              <w:sz w:val="26"/>
              <w:szCs w:val="26"/>
              <w:lang w:val="en-AU"/>
              <w14:ligatures w14:val="standardContextual"/>
            </w:rPr>
            <w:t>Contents</w:t>
          </w:r>
        </w:p>
        <w:p w14:paraId="1433F3DC" w14:textId="503EE91F" w:rsidR="00942299" w:rsidRDefault="000B7CD4">
          <w:pPr>
            <w:pStyle w:val="TOC1"/>
            <w:rPr>
              <w:rFonts w:asciiTheme="minorHAnsi" w:hAnsiTheme="minorHAnsi"/>
              <w:bCs w:val="0"/>
              <w:lang w:eastAsia="en-AU"/>
            </w:rPr>
          </w:pPr>
          <w:r w:rsidRPr="00AD1A3F">
            <w:rPr>
              <w:noProof w:val="0"/>
            </w:rPr>
            <w:fldChar w:fldCharType="begin"/>
          </w:r>
          <w:r w:rsidRPr="00AD1A3F">
            <w:rPr>
              <w:noProof w:val="0"/>
            </w:rPr>
            <w:instrText xml:space="preserve"> TOC \o "1-3" \h \z \u </w:instrText>
          </w:r>
          <w:r w:rsidRPr="00AD1A3F">
            <w:rPr>
              <w:noProof w:val="0"/>
            </w:rPr>
            <w:fldChar w:fldCharType="separate"/>
          </w:r>
          <w:hyperlink w:anchor="_Toc212816943" w:history="1">
            <w:r w:rsidR="00942299" w:rsidRPr="00837571">
              <w:rPr>
                <w:rStyle w:val="Hyperlink"/>
                <w:rFonts w:cs="Poppins SemiBold"/>
                <w:b/>
              </w:rPr>
              <w:t>About QIDAN</w:t>
            </w:r>
            <w:r w:rsidR="00942299">
              <w:rPr>
                <w:webHidden/>
              </w:rPr>
              <w:tab/>
            </w:r>
            <w:r w:rsidR="00942299">
              <w:rPr>
                <w:webHidden/>
              </w:rPr>
              <w:fldChar w:fldCharType="begin"/>
            </w:r>
            <w:r w:rsidR="00942299">
              <w:rPr>
                <w:webHidden/>
              </w:rPr>
              <w:instrText xml:space="preserve"> PAGEREF _Toc212816943 \h </w:instrText>
            </w:r>
            <w:r w:rsidR="00942299">
              <w:rPr>
                <w:webHidden/>
              </w:rPr>
            </w:r>
            <w:r w:rsidR="00942299">
              <w:rPr>
                <w:webHidden/>
              </w:rPr>
              <w:fldChar w:fldCharType="separate"/>
            </w:r>
            <w:r w:rsidR="00101751">
              <w:rPr>
                <w:webHidden/>
              </w:rPr>
              <w:t>3</w:t>
            </w:r>
            <w:r w:rsidR="00942299">
              <w:rPr>
                <w:webHidden/>
              </w:rPr>
              <w:fldChar w:fldCharType="end"/>
            </w:r>
          </w:hyperlink>
        </w:p>
        <w:p w14:paraId="281EF4CC" w14:textId="7F1F3726" w:rsidR="00942299" w:rsidRDefault="00942299">
          <w:pPr>
            <w:pStyle w:val="TOC1"/>
            <w:rPr>
              <w:rFonts w:asciiTheme="minorHAnsi" w:hAnsiTheme="minorHAnsi"/>
              <w:bCs w:val="0"/>
              <w:lang w:eastAsia="en-AU"/>
            </w:rPr>
          </w:pPr>
          <w:hyperlink w:anchor="_Toc212816944" w:history="1">
            <w:r w:rsidRPr="00837571">
              <w:rPr>
                <w:rStyle w:val="Hyperlink"/>
                <w:rFonts w:cs="Poppins SemiBold"/>
                <w:b/>
              </w:rPr>
              <w:t>Introduction</w:t>
            </w:r>
            <w:r>
              <w:rPr>
                <w:webHidden/>
              </w:rPr>
              <w:tab/>
            </w:r>
            <w:r>
              <w:rPr>
                <w:webHidden/>
              </w:rPr>
              <w:fldChar w:fldCharType="begin"/>
            </w:r>
            <w:r>
              <w:rPr>
                <w:webHidden/>
              </w:rPr>
              <w:instrText xml:space="preserve"> PAGEREF _Toc212816944 \h </w:instrText>
            </w:r>
            <w:r>
              <w:rPr>
                <w:webHidden/>
              </w:rPr>
            </w:r>
            <w:r>
              <w:rPr>
                <w:webHidden/>
              </w:rPr>
              <w:fldChar w:fldCharType="separate"/>
            </w:r>
            <w:r w:rsidR="00101751">
              <w:rPr>
                <w:webHidden/>
              </w:rPr>
              <w:t>4</w:t>
            </w:r>
            <w:r>
              <w:rPr>
                <w:webHidden/>
              </w:rPr>
              <w:fldChar w:fldCharType="end"/>
            </w:r>
          </w:hyperlink>
        </w:p>
        <w:p w14:paraId="46A20097" w14:textId="1B249A44" w:rsidR="00942299" w:rsidRDefault="00942299">
          <w:pPr>
            <w:pStyle w:val="TOC1"/>
            <w:rPr>
              <w:rFonts w:asciiTheme="minorHAnsi" w:hAnsiTheme="minorHAnsi"/>
              <w:bCs w:val="0"/>
              <w:lang w:eastAsia="en-AU"/>
            </w:rPr>
          </w:pPr>
          <w:hyperlink w:anchor="_Toc212816945" w:history="1">
            <w:r w:rsidRPr="00837571">
              <w:rPr>
                <w:rStyle w:val="Hyperlink"/>
                <w:rFonts w:cs="Poppins SemiBold"/>
                <w:b/>
              </w:rPr>
              <w:t>Recommendations</w:t>
            </w:r>
            <w:r>
              <w:rPr>
                <w:webHidden/>
              </w:rPr>
              <w:tab/>
            </w:r>
            <w:r>
              <w:rPr>
                <w:webHidden/>
              </w:rPr>
              <w:fldChar w:fldCharType="begin"/>
            </w:r>
            <w:r>
              <w:rPr>
                <w:webHidden/>
              </w:rPr>
              <w:instrText xml:space="preserve"> PAGEREF _Toc212816945 \h </w:instrText>
            </w:r>
            <w:r>
              <w:rPr>
                <w:webHidden/>
              </w:rPr>
            </w:r>
            <w:r>
              <w:rPr>
                <w:webHidden/>
              </w:rPr>
              <w:fldChar w:fldCharType="separate"/>
            </w:r>
            <w:r w:rsidR="00101751">
              <w:rPr>
                <w:webHidden/>
              </w:rPr>
              <w:t>7</w:t>
            </w:r>
            <w:r>
              <w:rPr>
                <w:webHidden/>
              </w:rPr>
              <w:fldChar w:fldCharType="end"/>
            </w:r>
          </w:hyperlink>
        </w:p>
        <w:p w14:paraId="4FFD6976" w14:textId="172C4C09" w:rsidR="00942299" w:rsidRDefault="00942299">
          <w:pPr>
            <w:pStyle w:val="TOC1"/>
            <w:rPr>
              <w:rFonts w:asciiTheme="minorHAnsi" w:hAnsiTheme="minorHAnsi"/>
              <w:bCs w:val="0"/>
              <w:lang w:eastAsia="en-AU"/>
            </w:rPr>
          </w:pPr>
          <w:hyperlink w:anchor="_Toc212816946" w:history="1">
            <w:r w:rsidRPr="00837571">
              <w:rPr>
                <w:rStyle w:val="Hyperlink"/>
                <w:rFonts w:cs="Poppins SemiBold"/>
                <w:b/>
              </w:rPr>
              <w:t>Celebrate people with disability and protect them from discrimination</w:t>
            </w:r>
            <w:r>
              <w:rPr>
                <w:webHidden/>
              </w:rPr>
              <w:tab/>
            </w:r>
            <w:r>
              <w:rPr>
                <w:webHidden/>
              </w:rPr>
              <w:fldChar w:fldCharType="begin"/>
            </w:r>
            <w:r>
              <w:rPr>
                <w:webHidden/>
              </w:rPr>
              <w:instrText xml:space="preserve"> PAGEREF _Toc212816946 \h </w:instrText>
            </w:r>
            <w:r>
              <w:rPr>
                <w:webHidden/>
              </w:rPr>
            </w:r>
            <w:r>
              <w:rPr>
                <w:webHidden/>
              </w:rPr>
              <w:fldChar w:fldCharType="separate"/>
            </w:r>
            <w:r w:rsidR="00101751">
              <w:rPr>
                <w:webHidden/>
              </w:rPr>
              <w:t>10</w:t>
            </w:r>
            <w:r>
              <w:rPr>
                <w:webHidden/>
              </w:rPr>
              <w:fldChar w:fldCharType="end"/>
            </w:r>
          </w:hyperlink>
        </w:p>
        <w:p w14:paraId="47C3AE15" w14:textId="21A719C4" w:rsidR="00942299" w:rsidRDefault="00942299">
          <w:pPr>
            <w:pStyle w:val="TOC1"/>
            <w:rPr>
              <w:rFonts w:asciiTheme="minorHAnsi" w:hAnsiTheme="minorHAnsi"/>
              <w:bCs w:val="0"/>
              <w:lang w:eastAsia="en-AU"/>
            </w:rPr>
          </w:pPr>
          <w:hyperlink w:anchor="_Toc212816947" w:history="1">
            <w:r w:rsidRPr="00837571">
              <w:rPr>
                <w:rStyle w:val="Hyperlink"/>
                <w:rFonts w:cs="Poppins SemiBold"/>
                <w:b/>
              </w:rPr>
              <w:t>Positive duty: a crucial step towards equality</w:t>
            </w:r>
            <w:r>
              <w:rPr>
                <w:webHidden/>
              </w:rPr>
              <w:tab/>
            </w:r>
            <w:r>
              <w:rPr>
                <w:webHidden/>
              </w:rPr>
              <w:fldChar w:fldCharType="begin"/>
            </w:r>
            <w:r>
              <w:rPr>
                <w:webHidden/>
              </w:rPr>
              <w:instrText xml:space="preserve"> PAGEREF _Toc212816947 \h </w:instrText>
            </w:r>
            <w:r>
              <w:rPr>
                <w:webHidden/>
              </w:rPr>
            </w:r>
            <w:r>
              <w:rPr>
                <w:webHidden/>
              </w:rPr>
              <w:fldChar w:fldCharType="separate"/>
            </w:r>
            <w:r w:rsidR="00101751">
              <w:rPr>
                <w:webHidden/>
              </w:rPr>
              <w:t>14</w:t>
            </w:r>
            <w:r>
              <w:rPr>
                <w:webHidden/>
              </w:rPr>
              <w:fldChar w:fldCharType="end"/>
            </w:r>
          </w:hyperlink>
        </w:p>
        <w:p w14:paraId="38FA29C8" w14:textId="28B79067" w:rsidR="00942299" w:rsidRDefault="00942299">
          <w:pPr>
            <w:pStyle w:val="TOC1"/>
            <w:rPr>
              <w:rFonts w:asciiTheme="minorHAnsi" w:hAnsiTheme="minorHAnsi"/>
              <w:bCs w:val="0"/>
              <w:lang w:eastAsia="en-AU"/>
            </w:rPr>
          </w:pPr>
          <w:hyperlink w:anchor="_Toc212816948" w:history="1">
            <w:r w:rsidRPr="00837571">
              <w:rPr>
                <w:rStyle w:val="Hyperlink"/>
                <w:rFonts w:cs="Poppins SemiBold"/>
                <w:b/>
              </w:rPr>
              <w:t>Inclusion benefits everyone and disadvantages no one</w:t>
            </w:r>
            <w:r>
              <w:rPr>
                <w:webHidden/>
              </w:rPr>
              <w:tab/>
            </w:r>
            <w:r>
              <w:rPr>
                <w:webHidden/>
              </w:rPr>
              <w:fldChar w:fldCharType="begin"/>
            </w:r>
            <w:r>
              <w:rPr>
                <w:webHidden/>
              </w:rPr>
              <w:instrText xml:space="preserve"> PAGEREF _Toc212816948 \h </w:instrText>
            </w:r>
            <w:r>
              <w:rPr>
                <w:webHidden/>
              </w:rPr>
            </w:r>
            <w:r>
              <w:rPr>
                <w:webHidden/>
              </w:rPr>
              <w:fldChar w:fldCharType="separate"/>
            </w:r>
            <w:r w:rsidR="00101751">
              <w:rPr>
                <w:webHidden/>
              </w:rPr>
              <w:t>19</w:t>
            </w:r>
            <w:r>
              <w:rPr>
                <w:webHidden/>
              </w:rPr>
              <w:fldChar w:fldCharType="end"/>
            </w:r>
          </w:hyperlink>
        </w:p>
        <w:p w14:paraId="7021A270" w14:textId="114AB131" w:rsidR="00942299" w:rsidRDefault="00942299">
          <w:pPr>
            <w:pStyle w:val="TOC1"/>
            <w:rPr>
              <w:rFonts w:asciiTheme="minorHAnsi" w:hAnsiTheme="minorHAnsi"/>
              <w:bCs w:val="0"/>
              <w:lang w:eastAsia="en-AU"/>
            </w:rPr>
          </w:pPr>
          <w:hyperlink w:anchor="_Toc212816949" w:history="1">
            <w:r w:rsidRPr="00837571">
              <w:rPr>
                <w:rStyle w:val="Hyperlink"/>
                <w:rFonts w:cs="Poppins SemiBold"/>
                <w:b/>
              </w:rPr>
              <w:t>Extend protections to people with disability experiencing harassment and vilification</w:t>
            </w:r>
            <w:r>
              <w:rPr>
                <w:webHidden/>
              </w:rPr>
              <w:tab/>
            </w:r>
            <w:r>
              <w:rPr>
                <w:webHidden/>
              </w:rPr>
              <w:fldChar w:fldCharType="begin"/>
            </w:r>
            <w:r>
              <w:rPr>
                <w:webHidden/>
              </w:rPr>
              <w:instrText xml:space="preserve"> PAGEREF _Toc212816949 \h </w:instrText>
            </w:r>
            <w:r>
              <w:rPr>
                <w:webHidden/>
              </w:rPr>
            </w:r>
            <w:r>
              <w:rPr>
                <w:webHidden/>
              </w:rPr>
              <w:fldChar w:fldCharType="separate"/>
            </w:r>
            <w:r w:rsidR="00101751">
              <w:rPr>
                <w:webHidden/>
              </w:rPr>
              <w:t>27</w:t>
            </w:r>
            <w:r>
              <w:rPr>
                <w:webHidden/>
              </w:rPr>
              <w:fldChar w:fldCharType="end"/>
            </w:r>
          </w:hyperlink>
        </w:p>
        <w:p w14:paraId="55619926" w14:textId="32536D77" w:rsidR="00942299" w:rsidRDefault="00942299">
          <w:pPr>
            <w:pStyle w:val="TOC1"/>
            <w:rPr>
              <w:rFonts w:asciiTheme="minorHAnsi" w:hAnsiTheme="minorHAnsi"/>
              <w:bCs w:val="0"/>
              <w:lang w:eastAsia="en-AU"/>
            </w:rPr>
          </w:pPr>
          <w:hyperlink w:anchor="_Toc212816950" w:history="1">
            <w:r w:rsidRPr="00837571">
              <w:rPr>
                <w:rStyle w:val="Hyperlink"/>
                <w:rFonts w:cs="Poppins SemiBold"/>
                <w:b/>
              </w:rPr>
              <w:t>No more excuses for discriminating – make exemptions clear and minimum</w:t>
            </w:r>
            <w:r>
              <w:rPr>
                <w:webHidden/>
              </w:rPr>
              <w:tab/>
            </w:r>
            <w:r>
              <w:rPr>
                <w:webHidden/>
              </w:rPr>
              <w:fldChar w:fldCharType="begin"/>
            </w:r>
            <w:r>
              <w:rPr>
                <w:webHidden/>
              </w:rPr>
              <w:instrText xml:space="preserve"> PAGEREF _Toc212816950 \h </w:instrText>
            </w:r>
            <w:r>
              <w:rPr>
                <w:webHidden/>
              </w:rPr>
            </w:r>
            <w:r>
              <w:rPr>
                <w:webHidden/>
              </w:rPr>
              <w:fldChar w:fldCharType="separate"/>
            </w:r>
            <w:r w:rsidR="00101751">
              <w:rPr>
                <w:webHidden/>
              </w:rPr>
              <w:t>28</w:t>
            </w:r>
            <w:r>
              <w:rPr>
                <w:webHidden/>
              </w:rPr>
              <w:fldChar w:fldCharType="end"/>
            </w:r>
          </w:hyperlink>
        </w:p>
        <w:p w14:paraId="1C3D2764" w14:textId="711D2CBA" w:rsidR="00942299" w:rsidRDefault="00942299">
          <w:pPr>
            <w:pStyle w:val="TOC1"/>
            <w:rPr>
              <w:rFonts w:asciiTheme="minorHAnsi" w:hAnsiTheme="minorHAnsi"/>
              <w:bCs w:val="0"/>
              <w:lang w:eastAsia="en-AU"/>
            </w:rPr>
          </w:pPr>
          <w:hyperlink w:anchor="_Toc212816951" w:history="1">
            <w:r w:rsidRPr="00837571">
              <w:rPr>
                <w:rStyle w:val="Hyperlink"/>
                <w:rFonts w:cs="Poppins SemiBold"/>
                <w:b/>
              </w:rPr>
              <w:t>Make the DDA effective and fit for purpose</w:t>
            </w:r>
            <w:r>
              <w:rPr>
                <w:webHidden/>
              </w:rPr>
              <w:tab/>
            </w:r>
            <w:r>
              <w:rPr>
                <w:webHidden/>
              </w:rPr>
              <w:fldChar w:fldCharType="begin"/>
            </w:r>
            <w:r>
              <w:rPr>
                <w:webHidden/>
              </w:rPr>
              <w:instrText xml:space="preserve"> PAGEREF _Toc212816951 \h </w:instrText>
            </w:r>
            <w:r>
              <w:rPr>
                <w:webHidden/>
              </w:rPr>
            </w:r>
            <w:r>
              <w:rPr>
                <w:webHidden/>
              </w:rPr>
              <w:fldChar w:fldCharType="separate"/>
            </w:r>
            <w:r w:rsidR="00101751">
              <w:rPr>
                <w:webHidden/>
              </w:rPr>
              <w:t>30</w:t>
            </w:r>
            <w:r>
              <w:rPr>
                <w:webHidden/>
              </w:rPr>
              <w:fldChar w:fldCharType="end"/>
            </w:r>
          </w:hyperlink>
        </w:p>
        <w:p w14:paraId="711CDFF9" w14:textId="34287337" w:rsidR="00942299" w:rsidRDefault="00942299">
          <w:pPr>
            <w:pStyle w:val="TOC1"/>
            <w:rPr>
              <w:rFonts w:asciiTheme="minorHAnsi" w:hAnsiTheme="minorHAnsi"/>
              <w:bCs w:val="0"/>
              <w:lang w:eastAsia="en-AU"/>
            </w:rPr>
          </w:pPr>
          <w:hyperlink w:anchor="_Toc212816952" w:history="1">
            <w:r w:rsidRPr="00837571">
              <w:rPr>
                <w:rStyle w:val="Hyperlink"/>
                <w:rFonts w:cs="Poppins SemiBold"/>
                <w:b/>
              </w:rPr>
              <w:t>Further options for reform</w:t>
            </w:r>
            <w:r>
              <w:rPr>
                <w:webHidden/>
              </w:rPr>
              <w:tab/>
            </w:r>
            <w:r>
              <w:rPr>
                <w:webHidden/>
              </w:rPr>
              <w:fldChar w:fldCharType="begin"/>
            </w:r>
            <w:r>
              <w:rPr>
                <w:webHidden/>
              </w:rPr>
              <w:instrText xml:space="preserve"> PAGEREF _Toc212816952 \h </w:instrText>
            </w:r>
            <w:r>
              <w:rPr>
                <w:webHidden/>
              </w:rPr>
            </w:r>
            <w:r>
              <w:rPr>
                <w:webHidden/>
              </w:rPr>
              <w:fldChar w:fldCharType="separate"/>
            </w:r>
            <w:r w:rsidR="00101751">
              <w:rPr>
                <w:webHidden/>
              </w:rPr>
              <w:t>33</w:t>
            </w:r>
            <w:r>
              <w:rPr>
                <w:webHidden/>
              </w:rPr>
              <w:fldChar w:fldCharType="end"/>
            </w:r>
          </w:hyperlink>
        </w:p>
        <w:p w14:paraId="7BC93995" w14:textId="31F443EF" w:rsidR="00942299" w:rsidRDefault="00942299">
          <w:pPr>
            <w:pStyle w:val="TOC1"/>
            <w:rPr>
              <w:rFonts w:asciiTheme="minorHAnsi" w:hAnsiTheme="minorHAnsi"/>
              <w:bCs w:val="0"/>
              <w:lang w:eastAsia="en-AU"/>
            </w:rPr>
          </w:pPr>
          <w:hyperlink w:anchor="_Toc212816953" w:history="1">
            <w:r w:rsidRPr="00837571">
              <w:rPr>
                <w:rStyle w:val="Hyperlink"/>
                <w:rFonts w:cs="Poppins SemiBold"/>
                <w:b/>
              </w:rPr>
              <w:t>Conclusion</w:t>
            </w:r>
            <w:r>
              <w:rPr>
                <w:webHidden/>
              </w:rPr>
              <w:tab/>
            </w:r>
            <w:r>
              <w:rPr>
                <w:webHidden/>
              </w:rPr>
              <w:fldChar w:fldCharType="begin"/>
            </w:r>
            <w:r>
              <w:rPr>
                <w:webHidden/>
              </w:rPr>
              <w:instrText xml:space="preserve"> PAGEREF _Toc212816953 \h </w:instrText>
            </w:r>
            <w:r>
              <w:rPr>
                <w:webHidden/>
              </w:rPr>
            </w:r>
            <w:r>
              <w:rPr>
                <w:webHidden/>
              </w:rPr>
              <w:fldChar w:fldCharType="separate"/>
            </w:r>
            <w:r w:rsidR="00101751">
              <w:rPr>
                <w:webHidden/>
              </w:rPr>
              <w:t>35</w:t>
            </w:r>
            <w:r>
              <w:rPr>
                <w:webHidden/>
              </w:rPr>
              <w:fldChar w:fldCharType="end"/>
            </w:r>
          </w:hyperlink>
        </w:p>
        <w:p w14:paraId="04D87EF0" w14:textId="71B2F925" w:rsidR="000B7CD4" w:rsidRDefault="000B7CD4" w:rsidP="000B7CD4">
          <w:pPr>
            <w:rPr>
              <w:b/>
              <w:bCs/>
            </w:rPr>
          </w:pPr>
          <w:r w:rsidRPr="00AD1A3F">
            <w:rPr>
              <w:b/>
              <w:bCs/>
            </w:rPr>
            <w:fldChar w:fldCharType="end"/>
          </w:r>
        </w:p>
      </w:sdtContent>
    </w:sdt>
    <w:p w14:paraId="57DBB45D" w14:textId="77777777" w:rsidR="000B7CD4" w:rsidRPr="00F11451" w:rsidRDefault="000B7CD4" w:rsidP="00F11451">
      <w:pPr>
        <w:pStyle w:val="QIDANParagraph"/>
      </w:pPr>
    </w:p>
    <w:p w14:paraId="47EF40B3" w14:textId="77777777" w:rsidR="007820CD" w:rsidRDefault="007820CD" w:rsidP="00D80627">
      <w:pPr>
        <w:pStyle w:val="Heading1"/>
        <w:rPr>
          <w:rFonts w:ascii="Nunito Sans" w:hAnsi="Nunito Sans" w:cs="Poppins SemiBold"/>
          <w:b/>
          <w:color w:val="690048"/>
          <w:sz w:val="28"/>
          <w:szCs w:val="28"/>
        </w:rPr>
      </w:pPr>
    </w:p>
    <w:p w14:paraId="5FB8FCE0" w14:textId="77777777" w:rsidR="00C122F6" w:rsidRDefault="00C122F6">
      <w:pPr>
        <w:rPr>
          <w:rFonts w:ascii="Nunito Sans" w:eastAsiaTheme="majorEastAsia" w:hAnsi="Nunito Sans" w:cs="Poppins SemiBold"/>
          <w:b/>
          <w:color w:val="690048"/>
          <w:sz w:val="28"/>
          <w:szCs w:val="28"/>
        </w:rPr>
      </w:pPr>
      <w:r>
        <w:rPr>
          <w:rFonts w:ascii="Nunito Sans" w:hAnsi="Nunito Sans" w:cs="Poppins SemiBold"/>
          <w:b/>
          <w:color w:val="690048"/>
          <w:sz w:val="28"/>
          <w:szCs w:val="28"/>
        </w:rPr>
        <w:br w:type="page"/>
      </w:r>
    </w:p>
    <w:p w14:paraId="081398A9" w14:textId="4FD8B6F2" w:rsidR="00D80627" w:rsidRPr="00393882" w:rsidRDefault="00F00842" w:rsidP="00D80627">
      <w:pPr>
        <w:pStyle w:val="Heading1"/>
        <w:rPr>
          <w:rFonts w:ascii="Nunito Sans" w:hAnsi="Nunito Sans" w:cs="Poppins SemiBold"/>
          <w:b/>
          <w:color w:val="690048"/>
          <w:sz w:val="28"/>
          <w:szCs w:val="28"/>
        </w:rPr>
      </w:pPr>
      <w:bookmarkStart w:id="1" w:name="_Toc212816943"/>
      <w:r>
        <w:rPr>
          <w:rFonts w:ascii="Nunito Sans" w:hAnsi="Nunito Sans" w:cs="Poppins SemiBold"/>
          <w:b/>
          <w:color w:val="690048"/>
          <w:sz w:val="28"/>
          <w:szCs w:val="28"/>
        </w:rPr>
        <w:lastRenderedPageBreak/>
        <w:t>About QIDAN</w:t>
      </w:r>
      <w:bookmarkEnd w:id="1"/>
    </w:p>
    <w:p w14:paraId="743D98B8" w14:textId="299BC6A5" w:rsidR="003F7D16" w:rsidRPr="007820CD" w:rsidRDefault="003F7D16" w:rsidP="005D1A8E">
      <w:pPr>
        <w:pStyle w:val="QIDANParagraph"/>
        <w:rPr>
          <w:rFonts w:eastAsia="Calibri"/>
        </w:rPr>
      </w:pPr>
      <w:r w:rsidRPr="007820CD">
        <w:rPr>
          <w:rFonts w:eastAsia="Calibri"/>
        </w:rPr>
        <w:t xml:space="preserve">The Queensland Independent Disability Advocacy Network (QIDAN) is a group of organisations that provide individual advocacy </w:t>
      </w:r>
      <w:r w:rsidR="00F26B5A">
        <w:rPr>
          <w:rFonts w:eastAsia="Calibri"/>
        </w:rPr>
        <w:t>assistance</w:t>
      </w:r>
      <w:r w:rsidRPr="007820CD">
        <w:rPr>
          <w:rFonts w:eastAsia="Calibri"/>
        </w:rPr>
        <w:t xml:space="preserve"> to Queenslanders with disability. These organisations are funded under the Queensland Disability Advocacy Program (QDAP). The member organisations include Aged and Disability Advocacy; AMPARO Advocacy Inc; Capricorn Citizen Advocacy; Mackay Advocacy Inc; People with Disability Australia; Queensland Advocacy for Inclusion (QAI); Rights in Action; Speaking Up </w:t>
      </w:r>
      <w:proofErr w:type="gramStart"/>
      <w:r w:rsidRPr="007820CD">
        <w:rPr>
          <w:rFonts w:eastAsia="Calibri"/>
        </w:rPr>
        <w:t>For</w:t>
      </w:r>
      <w:proofErr w:type="gramEnd"/>
      <w:r w:rsidRPr="007820CD">
        <w:rPr>
          <w:rFonts w:eastAsia="Calibri"/>
        </w:rPr>
        <w:t xml:space="preserve"> You; TASC; and Yarn2Action run by Aged and Disability Advocacy.</w:t>
      </w:r>
    </w:p>
    <w:p w14:paraId="7A18AE45" w14:textId="773F7005" w:rsidR="003F7D16" w:rsidRDefault="00C66600" w:rsidP="002E75B9">
      <w:pPr>
        <w:pStyle w:val="QIDANParagraph"/>
        <w:spacing w:after="240"/>
        <w:rPr>
          <w:rFonts w:eastAsia="Calibri"/>
        </w:rPr>
      </w:pPr>
      <w:r>
        <w:rPr>
          <w:rFonts w:eastAsia="Calibri"/>
        </w:rPr>
        <w:t>QIDAN members meet regularly to</w:t>
      </w:r>
      <w:r w:rsidR="003F7D16" w:rsidRPr="007820CD">
        <w:rPr>
          <w:rFonts w:eastAsia="Calibri"/>
        </w:rPr>
        <w:t xml:space="preserve"> discuss the pressing issues that are impacting people with disability in our communities, and </w:t>
      </w:r>
      <w:r w:rsidR="00815994">
        <w:rPr>
          <w:rFonts w:eastAsia="Calibri"/>
        </w:rPr>
        <w:t xml:space="preserve">disability discrimination </w:t>
      </w:r>
      <w:r w:rsidR="00D66322">
        <w:rPr>
          <w:rFonts w:eastAsia="Calibri"/>
        </w:rPr>
        <w:t>is a common issue advocates assist people with</w:t>
      </w:r>
      <w:r w:rsidR="003F7D16" w:rsidRPr="007820CD">
        <w:rPr>
          <w:rFonts w:eastAsia="Calibri"/>
        </w:rPr>
        <w:t>. The following submission is informed by our extensive experience working with Queenslanders with disability who have experienced</w:t>
      </w:r>
      <w:r w:rsidR="00D66322">
        <w:rPr>
          <w:rFonts w:eastAsia="Calibri"/>
        </w:rPr>
        <w:t xml:space="preserve"> disability discrimination </w:t>
      </w:r>
      <w:r w:rsidR="00044538">
        <w:rPr>
          <w:rFonts w:eastAsia="Calibri"/>
        </w:rPr>
        <w:t>in areas of public life such as accessing services and public spaces</w:t>
      </w:r>
      <w:r w:rsidR="00CE24F5">
        <w:rPr>
          <w:rFonts w:eastAsia="Calibri"/>
        </w:rPr>
        <w:t xml:space="preserve">, education and accommodation. </w:t>
      </w:r>
    </w:p>
    <w:p w14:paraId="106A9D27" w14:textId="77777777" w:rsidR="0017348C" w:rsidRPr="00800501" w:rsidRDefault="0017348C" w:rsidP="00800501">
      <w:pPr>
        <w:pStyle w:val="QIDANParagraph"/>
        <w:rPr>
          <w:rFonts w:eastAsia="Calibri"/>
          <w:b/>
          <w:bCs/>
          <w:color w:val="690048"/>
        </w:rPr>
      </w:pPr>
      <w:r w:rsidRPr="00800501">
        <w:rPr>
          <w:rFonts w:eastAsia="Calibri"/>
          <w:b/>
          <w:bCs/>
          <w:color w:val="690048"/>
        </w:rPr>
        <w:t>A note on language </w:t>
      </w:r>
    </w:p>
    <w:p w14:paraId="651B9790" w14:textId="2C2F9D93" w:rsidR="0017348C" w:rsidRPr="0017348C" w:rsidRDefault="0017348C" w:rsidP="005D1A8E">
      <w:pPr>
        <w:pStyle w:val="QIDANParagraph"/>
        <w:rPr>
          <w:rFonts w:eastAsia="Calibri"/>
        </w:rPr>
      </w:pPr>
      <w:r w:rsidRPr="0017348C">
        <w:rPr>
          <w:rFonts w:eastAsia="Calibri"/>
        </w:rPr>
        <w:t xml:space="preserve">Language is a powerful tool for building inclusion. We use person-first language by using the term ‘people with disability’ but recognise that many people with disability prefer identity first language (i.e. a disabled person). </w:t>
      </w:r>
    </w:p>
    <w:p w14:paraId="7BF7A436" w14:textId="77777777" w:rsidR="0017348C" w:rsidRPr="007820CD" w:rsidRDefault="0017348C" w:rsidP="003F7D16">
      <w:pPr>
        <w:spacing w:line="360" w:lineRule="auto"/>
        <w:rPr>
          <w:rFonts w:ascii="Nunito Sans" w:eastAsia="Calibri" w:hAnsi="Nunito Sans" w:cs="Calibri"/>
        </w:rPr>
      </w:pPr>
    </w:p>
    <w:p w14:paraId="54123BF5" w14:textId="77777777" w:rsidR="00D80627" w:rsidRDefault="00D80627" w:rsidP="00D80627"/>
    <w:p w14:paraId="692ED23B" w14:textId="77777777" w:rsidR="00614F22" w:rsidRDefault="00614F22" w:rsidP="00D80627"/>
    <w:p w14:paraId="1B6E0C7F" w14:textId="77777777" w:rsidR="008012E2" w:rsidRDefault="008012E2" w:rsidP="00D80627"/>
    <w:p w14:paraId="6A401638" w14:textId="77777777" w:rsidR="008012E2" w:rsidRDefault="008012E2" w:rsidP="00D80627"/>
    <w:p w14:paraId="4268C7E6" w14:textId="77777777" w:rsidR="008012E2" w:rsidRDefault="008012E2" w:rsidP="00D80627"/>
    <w:p w14:paraId="0335EE20" w14:textId="77777777" w:rsidR="00614F22" w:rsidRDefault="00614F22" w:rsidP="00D80627"/>
    <w:p w14:paraId="7962B7F8" w14:textId="77777777" w:rsidR="00614F22" w:rsidRDefault="00614F22" w:rsidP="00D80627"/>
    <w:p w14:paraId="70788190" w14:textId="77777777" w:rsidR="00614F22" w:rsidRDefault="00614F22" w:rsidP="00D80627"/>
    <w:p w14:paraId="476C3AA5" w14:textId="77777777" w:rsidR="00614F22" w:rsidRDefault="00614F22" w:rsidP="00D80627"/>
    <w:p w14:paraId="5BE6085C" w14:textId="77777777" w:rsidR="004E12C7" w:rsidRDefault="004E12C7" w:rsidP="00D80627"/>
    <w:p w14:paraId="0B47A282" w14:textId="77777777" w:rsidR="00614F22" w:rsidRDefault="00614F22" w:rsidP="00D80627"/>
    <w:p w14:paraId="5A930F6D" w14:textId="10AB6A4D" w:rsidR="00D80627" w:rsidRPr="001325E3" w:rsidRDefault="00EC6B84" w:rsidP="00D80627">
      <w:pPr>
        <w:pStyle w:val="Heading1"/>
        <w:rPr>
          <w:rFonts w:ascii="Nunito Sans" w:hAnsi="Nunito Sans" w:cs="Poppins SemiBold"/>
          <w:b/>
          <w:color w:val="690048"/>
          <w:sz w:val="28"/>
          <w:szCs w:val="28"/>
        </w:rPr>
      </w:pPr>
      <w:bookmarkStart w:id="2" w:name="_Toc212816944"/>
      <w:r w:rsidRPr="00771D43">
        <w:rPr>
          <w:rFonts w:ascii="Nunito Sans" w:hAnsi="Nunito Sans" w:cs="Poppins SemiBold"/>
          <w:b/>
          <w:color w:val="690048"/>
          <w:sz w:val="28"/>
          <w:szCs w:val="28"/>
        </w:rPr>
        <w:lastRenderedPageBreak/>
        <w:t>Introduction</w:t>
      </w:r>
      <w:bookmarkEnd w:id="2"/>
    </w:p>
    <w:p w14:paraId="171664B2" w14:textId="01BEC02A" w:rsidR="00777DBA" w:rsidRDefault="00F172F0" w:rsidP="005D1A8E">
      <w:pPr>
        <w:pStyle w:val="QIDANParagraph"/>
      </w:pPr>
      <w:r w:rsidRPr="007820CD">
        <w:t xml:space="preserve">QIDAN welcomes the </w:t>
      </w:r>
      <w:r w:rsidR="00190B33">
        <w:t>Australian Government</w:t>
      </w:r>
      <w:r w:rsidR="0010286D">
        <w:t>’s</w:t>
      </w:r>
      <w:r w:rsidR="00190B33">
        <w:t xml:space="preserve"> and the Attorney-General’s </w:t>
      </w:r>
      <w:r w:rsidR="00940D6C">
        <w:t>commitment</w:t>
      </w:r>
      <w:r w:rsidR="00493176">
        <w:t xml:space="preserve"> to upholding the rights of people with disability</w:t>
      </w:r>
      <w:r w:rsidR="00DE26DD">
        <w:t xml:space="preserve"> and ensuring anti-</w:t>
      </w:r>
    </w:p>
    <w:p w14:paraId="10E979CE" w14:textId="68741ADF" w:rsidR="00B85CB7" w:rsidRDefault="00DE26DD" w:rsidP="005D1A8E">
      <w:pPr>
        <w:pStyle w:val="QIDANParagraph"/>
      </w:pPr>
      <w:r>
        <w:t xml:space="preserve">discrimination laws work for people with disability. </w:t>
      </w:r>
      <w:r w:rsidR="00AC1C9A">
        <w:t xml:space="preserve">QIDAN </w:t>
      </w:r>
      <w:r w:rsidR="003D45F6">
        <w:t>also welcomes the</w:t>
      </w:r>
      <w:r w:rsidR="00E85F0E">
        <w:t xml:space="preserve"> focus of the</w:t>
      </w:r>
      <w:r w:rsidR="00D9401A">
        <w:t xml:space="preserve"> Disability Discrimination Act </w:t>
      </w:r>
      <w:r w:rsidR="00853EE8">
        <w:t>1992 Review (</w:t>
      </w:r>
      <w:r w:rsidR="00853EE8" w:rsidRPr="00853EE8">
        <w:rPr>
          <w:b/>
          <w:bCs/>
        </w:rPr>
        <w:t>the DDA Review</w:t>
      </w:r>
      <w:r w:rsidR="00853EE8">
        <w:t>)</w:t>
      </w:r>
      <w:r w:rsidR="003D45F6">
        <w:t xml:space="preserve"> </w:t>
      </w:r>
      <w:r w:rsidR="00081C8E">
        <w:t xml:space="preserve">on the implementation of the </w:t>
      </w:r>
      <w:r w:rsidR="003D45F6">
        <w:t xml:space="preserve">Disability Royal Commission into Violence, Abuse, Neglect and Exploitation </w:t>
      </w:r>
      <w:r w:rsidR="009E7852">
        <w:t>of People with Disability (</w:t>
      </w:r>
      <w:r w:rsidR="009E7852" w:rsidRPr="009E7852">
        <w:rPr>
          <w:b/>
          <w:bCs/>
        </w:rPr>
        <w:t>the DRC</w:t>
      </w:r>
      <w:r w:rsidR="009E7852">
        <w:t xml:space="preserve">) </w:t>
      </w:r>
      <w:r w:rsidR="004D45DB">
        <w:t>final report and its 15 recommendations</w:t>
      </w:r>
      <w:r w:rsidR="00AC13D5">
        <w:t xml:space="preserve"> relevant to the </w:t>
      </w:r>
      <w:r w:rsidR="00B66091" w:rsidRPr="00B66091">
        <w:rPr>
          <w:i/>
          <w:iCs/>
        </w:rPr>
        <w:t>Disability Discrimination Act 1992</w:t>
      </w:r>
      <w:r w:rsidR="00B66091">
        <w:t xml:space="preserve"> (</w:t>
      </w:r>
      <w:r w:rsidR="00B66091" w:rsidRPr="00B66091">
        <w:rPr>
          <w:b/>
          <w:bCs/>
        </w:rPr>
        <w:t xml:space="preserve">the </w:t>
      </w:r>
      <w:r w:rsidR="00AC13D5" w:rsidRPr="00B66091">
        <w:rPr>
          <w:b/>
          <w:bCs/>
        </w:rPr>
        <w:t>D</w:t>
      </w:r>
      <w:r w:rsidR="00B66091" w:rsidRPr="00B66091">
        <w:rPr>
          <w:b/>
          <w:bCs/>
        </w:rPr>
        <w:t>DA</w:t>
      </w:r>
      <w:r w:rsidR="00B66091">
        <w:t>)</w:t>
      </w:r>
      <w:r w:rsidR="00016C39">
        <w:t xml:space="preserve">. </w:t>
      </w:r>
      <w:r w:rsidR="00BD3607">
        <w:t>QIDAN contributed t</w:t>
      </w:r>
      <w:r w:rsidR="006F0289">
        <w:t xml:space="preserve">o the DRC in several ways, </w:t>
      </w:r>
      <w:r w:rsidR="48C524BB">
        <w:t>providing</w:t>
      </w:r>
      <w:r w:rsidR="006F0289">
        <w:t xml:space="preserve"> advocacy to people with disability</w:t>
      </w:r>
      <w:r w:rsidR="004D4AD5">
        <w:t xml:space="preserve"> involved in the DRC, assisting people with disability to access and</w:t>
      </w:r>
      <w:r w:rsidR="0DB703D4">
        <w:t xml:space="preserve"> share their experiences</w:t>
      </w:r>
      <w:r w:rsidR="00BA64BD">
        <w:t>, preparing submissions and attending hearings.</w:t>
      </w:r>
      <w:r w:rsidR="00F54359">
        <w:t xml:space="preserve"> QIDAN remained cognisant of both the pain and harm caused to people </w:t>
      </w:r>
      <w:r w:rsidR="000B0C9E">
        <w:t>with disability reliving traumatic experiences, and the courage and resilience of Queensland</w:t>
      </w:r>
      <w:r w:rsidR="00ED09D3">
        <w:t>ers</w:t>
      </w:r>
      <w:r w:rsidR="005F0DEF">
        <w:t xml:space="preserve">. We are pleased to </w:t>
      </w:r>
      <w:r w:rsidR="00137553">
        <w:t>see</w:t>
      </w:r>
      <w:r w:rsidR="005D7F3E">
        <w:t xml:space="preserve"> that</w:t>
      </w:r>
      <w:r w:rsidR="00A90C99">
        <w:t xml:space="preserve"> people’s stories have resulted in the DDA Review</w:t>
      </w:r>
      <w:r w:rsidR="00D05760">
        <w:t xml:space="preserve">, </w:t>
      </w:r>
      <w:r w:rsidR="005B7555">
        <w:t xml:space="preserve">and that steps are being taken towards a future </w:t>
      </w:r>
      <w:r w:rsidR="00317D29">
        <w:t>free from</w:t>
      </w:r>
      <w:r w:rsidR="005B7555">
        <w:t xml:space="preserve"> discrimination.</w:t>
      </w:r>
    </w:p>
    <w:p w14:paraId="353E0234" w14:textId="06A31016" w:rsidR="009F0933" w:rsidRDefault="68ABC272" w:rsidP="005D1A8E">
      <w:pPr>
        <w:pStyle w:val="QIDANParagraph"/>
      </w:pPr>
      <w:r>
        <w:t>T</w:t>
      </w:r>
      <w:r w:rsidR="292C6A04">
        <w:t>he key role of</w:t>
      </w:r>
      <w:r w:rsidR="00787FC2">
        <w:t xml:space="preserve"> QIDAN</w:t>
      </w:r>
      <w:r w:rsidR="40B39E79">
        <w:t>’s advocates</w:t>
      </w:r>
      <w:r w:rsidR="00BF13FC">
        <w:t xml:space="preserve"> is to </w:t>
      </w:r>
      <w:r w:rsidR="0029576B">
        <w:t>uphold the rights, interests and wellbeing of people with disability</w:t>
      </w:r>
      <w:r w:rsidR="00871010">
        <w:t xml:space="preserve">, </w:t>
      </w:r>
      <w:r w:rsidR="00BF13FC">
        <w:t>address</w:t>
      </w:r>
      <w:r w:rsidR="00871010">
        <w:t>ing</w:t>
      </w:r>
      <w:r w:rsidR="00BF13FC">
        <w:t xml:space="preserve"> discrimination and barriers</w:t>
      </w:r>
      <w:r w:rsidR="00871010">
        <w:t>.</w:t>
      </w:r>
      <w:r w:rsidR="00280B53">
        <w:t xml:space="preserve"> </w:t>
      </w:r>
      <w:r w:rsidR="00431E25">
        <w:t>In the 202</w:t>
      </w:r>
      <w:r w:rsidR="00CB048D">
        <w:t>4</w:t>
      </w:r>
      <w:r w:rsidR="00431E25">
        <w:t xml:space="preserve">-25 financial year, </w:t>
      </w:r>
      <w:r w:rsidR="4E6D5710">
        <w:t xml:space="preserve">our advocates </w:t>
      </w:r>
      <w:r w:rsidR="009813E8">
        <w:t>provided</w:t>
      </w:r>
      <w:r w:rsidR="00431E25">
        <w:t xml:space="preserve"> 2,045 </w:t>
      </w:r>
      <w:r w:rsidR="00CA0B39">
        <w:t xml:space="preserve">advocacy matters involving </w:t>
      </w:r>
      <w:r w:rsidR="5AC088BA">
        <w:t xml:space="preserve">government systems (not including the NDIS) </w:t>
      </w:r>
      <w:r w:rsidR="00DF1D68">
        <w:t>to</w:t>
      </w:r>
      <w:r w:rsidR="00431E25">
        <w:t xml:space="preserve"> 1,118 </w:t>
      </w:r>
      <w:r w:rsidR="64A510B4">
        <w:t>people</w:t>
      </w:r>
      <w:r w:rsidR="00431E25">
        <w:t xml:space="preserve"> with disability. </w:t>
      </w:r>
      <w:r w:rsidR="57A64509">
        <w:t>We support</w:t>
      </w:r>
      <w:r w:rsidR="007740E3">
        <w:t xml:space="preserve"> people w</w:t>
      </w:r>
      <w:r w:rsidR="4F1B4FAC">
        <w:t>ho</w:t>
      </w:r>
      <w:r w:rsidR="007740E3">
        <w:t xml:space="preserve"> </w:t>
      </w:r>
      <w:r w:rsidR="099760BF">
        <w:t>are engaged with discriminatory systems such as education, housing, employment and health</w:t>
      </w:r>
      <w:r w:rsidR="00183017">
        <w:t>,</w:t>
      </w:r>
      <w:r w:rsidR="00AB55AC">
        <w:t xml:space="preserve"> includ</w:t>
      </w:r>
      <w:r w:rsidR="0B8C9395">
        <w:t>ing</w:t>
      </w:r>
      <w:r w:rsidR="00AB55AC">
        <w:t xml:space="preserve"> </w:t>
      </w:r>
      <w:r w:rsidR="4E072D6F">
        <w:t>assistance</w:t>
      </w:r>
      <w:r w:rsidR="702DBA5A">
        <w:t xml:space="preserve"> to</w:t>
      </w:r>
      <w:r w:rsidR="00AB55AC">
        <w:t xml:space="preserve"> </w:t>
      </w:r>
      <w:r w:rsidR="78013211">
        <w:t>lodge</w:t>
      </w:r>
      <w:r w:rsidR="00AB55AC">
        <w:t xml:space="preserve"> a complaint to the Queensland Human Rights Commission</w:t>
      </w:r>
      <w:r w:rsidR="00BE2B5C">
        <w:t xml:space="preserve"> (</w:t>
      </w:r>
      <w:r w:rsidR="00BE2B5C" w:rsidRPr="00BE2B5C">
        <w:rPr>
          <w:b/>
          <w:bCs/>
        </w:rPr>
        <w:t>QHRC</w:t>
      </w:r>
      <w:r w:rsidR="00BE2B5C">
        <w:t>)</w:t>
      </w:r>
      <w:r w:rsidR="00AB55AC">
        <w:t xml:space="preserve"> or</w:t>
      </w:r>
      <w:r w:rsidR="008C42A0">
        <w:t xml:space="preserve"> to</w:t>
      </w:r>
      <w:r w:rsidR="00AB55AC">
        <w:t xml:space="preserve"> the Australian Human Rights Commission</w:t>
      </w:r>
      <w:r w:rsidR="00BE2B5C">
        <w:t xml:space="preserve"> (</w:t>
      </w:r>
      <w:r w:rsidR="00BE2B5C" w:rsidRPr="00BE2B5C">
        <w:rPr>
          <w:b/>
          <w:bCs/>
        </w:rPr>
        <w:t>AHRC</w:t>
      </w:r>
      <w:r w:rsidR="00BE2B5C">
        <w:t>)</w:t>
      </w:r>
      <w:r w:rsidR="00AB55AC">
        <w:t xml:space="preserve">. </w:t>
      </w:r>
      <w:r w:rsidR="6D56510F">
        <w:t>In our experience</w:t>
      </w:r>
      <w:r w:rsidR="00A83B82">
        <w:t>,</w:t>
      </w:r>
      <w:r w:rsidR="5909F04F">
        <w:t xml:space="preserve"> people with disability </w:t>
      </w:r>
      <w:r w:rsidR="00A83B82">
        <w:t>choose to focus on resolving the issue cause</w:t>
      </w:r>
      <w:r w:rsidR="00E155C2">
        <w:t>d</w:t>
      </w:r>
      <w:r w:rsidR="00A83B82">
        <w:t xml:space="preserve"> by the discriminatory a</w:t>
      </w:r>
      <w:r w:rsidR="00BF18BA">
        <w:t>ct or omission</w:t>
      </w:r>
      <w:r w:rsidR="00A83B82">
        <w:t xml:space="preserve"> (</w:t>
      </w:r>
      <w:r w:rsidR="00E155C2">
        <w:t>e.g.</w:t>
      </w:r>
      <w:r w:rsidR="00A83B82">
        <w:t xml:space="preserve"> </w:t>
      </w:r>
      <w:r w:rsidR="00E155C2">
        <w:t>S</w:t>
      </w:r>
      <w:r w:rsidR="00A83B82">
        <w:t>tudent</w:t>
      </w:r>
      <w:r w:rsidR="00E155C2">
        <w:t xml:space="preserve"> exclusion or suspension</w:t>
      </w:r>
      <w:r w:rsidR="00D63F65">
        <w:t>) and</w:t>
      </w:r>
      <w:r w:rsidR="00A83B82">
        <w:t xml:space="preserve"> not </w:t>
      </w:r>
      <w:r w:rsidR="0022391D">
        <w:t>initiate a complaint</w:t>
      </w:r>
      <w:r w:rsidR="00A83B82">
        <w:t xml:space="preserve"> due to complex and lengthy process</w:t>
      </w:r>
      <w:r w:rsidR="00325E75">
        <w:t>es</w:t>
      </w:r>
      <w:r w:rsidR="00A83B82">
        <w:t>.</w:t>
      </w:r>
      <w:r w:rsidR="00C87426">
        <w:t xml:space="preserve"> </w:t>
      </w:r>
    </w:p>
    <w:p w14:paraId="0BC89901" w14:textId="1F866433" w:rsidR="00F72BFE" w:rsidRDefault="0047116B" w:rsidP="005D1A8E">
      <w:pPr>
        <w:pStyle w:val="QIDANParagraph"/>
      </w:pPr>
      <w:r>
        <w:t>Following</w:t>
      </w:r>
      <w:r w:rsidR="005E75A7">
        <w:t xml:space="preserve"> </w:t>
      </w:r>
      <w:r w:rsidR="00CB4CDD">
        <w:t>are</w:t>
      </w:r>
      <w:r w:rsidR="005E75A7">
        <w:t xml:space="preserve"> </w:t>
      </w:r>
      <w:r w:rsidR="00591A7C">
        <w:t>the top</w:t>
      </w:r>
      <w:r w:rsidR="00F72BFE">
        <w:t xml:space="preserve"> systems </w:t>
      </w:r>
      <w:r w:rsidR="005E75A7">
        <w:t xml:space="preserve">QIDAN’s </w:t>
      </w:r>
      <w:r w:rsidR="00F72BFE">
        <w:t>advocates assist people to navigate:</w:t>
      </w:r>
    </w:p>
    <w:p w14:paraId="0C95E6C3" w14:textId="17C94D52" w:rsidR="00375AA1" w:rsidRDefault="00375AA1" w:rsidP="00F72BFE">
      <w:pPr>
        <w:pStyle w:val="QIDANParagraph"/>
        <w:numPr>
          <w:ilvl w:val="0"/>
          <w:numId w:val="18"/>
        </w:numPr>
      </w:pPr>
      <w:r>
        <w:t>Housing and tenancy</w:t>
      </w:r>
    </w:p>
    <w:p w14:paraId="561E9045" w14:textId="77777777" w:rsidR="00375AA1" w:rsidRDefault="00375AA1" w:rsidP="00F72BFE">
      <w:pPr>
        <w:pStyle w:val="QIDANParagraph"/>
        <w:numPr>
          <w:ilvl w:val="0"/>
          <w:numId w:val="18"/>
        </w:numPr>
      </w:pPr>
      <w:r>
        <w:t>Commonwealth entitlements and payments</w:t>
      </w:r>
    </w:p>
    <w:p w14:paraId="14BDD180" w14:textId="77777777" w:rsidR="00375AA1" w:rsidRDefault="00375AA1" w:rsidP="00F72BFE">
      <w:pPr>
        <w:pStyle w:val="QIDANParagraph"/>
        <w:numPr>
          <w:ilvl w:val="0"/>
          <w:numId w:val="18"/>
        </w:numPr>
      </w:pPr>
      <w:r>
        <w:t>Education</w:t>
      </w:r>
    </w:p>
    <w:p w14:paraId="2D2DE45D" w14:textId="77777777" w:rsidR="00375AA1" w:rsidRDefault="00375AA1" w:rsidP="00F72BFE">
      <w:pPr>
        <w:pStyle w:val="QIDANParagraph"/>
        <w:numPr>
          <w:ilvl w:val="0"/>
          <w:numId w:val="18"/>
        </w:numPr>
      </w:pPr>
      <w:r>
        <w:lastRenderedPageBreak/>
        <w:t>Child Protection</w:t>
      </w:r>
    </w:p>
    <w:p w14:paraId="48CE576A" w14:textId="77777777" w:rsidR="00375AA1" w:rsidRDefault="00375AA1" w:rsidP="00F72BFE">
      <w:pPr>
        <w:pStyle w:val="QIDANParagraph"/>
        <w:numPr>
          <w:ilvl w:val="0"/>
          <w:numId w:val="18"/>
        </w:numPr>
      </w:pPr>
      <w:r>
        <w:t>Health and mental health</w:t>
      </w:r>
    </w:p>
    <w:p w14:paraId="6055EDA0" w14:textId="610EFB7F" w:rsidR="00F33C73" w:rsidRDefault="00F33C73" w:rsidP="003B7B75">
      <w:pPr>
        <w:pStyle w:val="QIDANParagraph"/>
      </w:pPr>
      <w:r>
        <w:t>During the same period, we</w:t>
      </w:r>
      <w:r w:rsidR="0010487A">
        <w:t xml:space="preserve"> helped people with 43 advocacy matters </w:t>
      </w:r>
      <w:r w:rsidR="005A4300">
        <w:t xml:space="preserve">which included discrimination complaint as the primary issue. </w:t>
      </w:r>
      <w:r>
        <w:t>Our data further reveals that for every person we assisted with a discrimination complaint, during the same period another person was turned away. The most common reason for this is due to disability organisations not</w:t>
      </w:r>
      <w:r w:rsidRPr="29BB67C7">
        <w:t xml:space="preserve"> having the organisational capacity to assist new cl</w:t>
      </w:r>
      <w:r>
        <w:t>ients</w:t>
      </w:r>
      <w:r w:rsidRPr="29BB67C7">
        <w:t>.</w:t>
      </w:r>
    </w:p>
    <w:p w14:paraId="2BDE67F4" w14:textId="423AAEEF" w:rsidR="00C407C2" w:rsidRDefault="495F7FC4" w:rsidP="003B7B75">
      <w:pPr>
        <w:pStyle w:val="QIDANParagraph"/>
      </w:pPr>
      <w:r w:rsidRPr="29BB67C7">
        <w:t>Further data from the 2024 to 2025 financial year reveals</w:t>
      </w:r>
      <w:r w:rsidR="63830729" w:rsidRPr="29BB67C7">
        <w:t>:</w:t>
      </w:r>
    </w:p>
    <w:p w14:paraId="65BF0CAA" w14:textId="26B6CB31" w:rsidR="00635894" w:rsidRPr="00F91A56" w:rsidRDefault="00635894" w:rsidP="00A42FDE">
      <w:pPr>
        <w:numPr>
          <w:ilvl w:val="0"/>
          <w:numId w:val="4"/>
        </w:numPr>
        <w:tabs>
          <w:tab w:val="clear" w:pos="720"/>
          <w:tab w:val="num" w:pos="567"/>
        </w:tabs>
        <w:spacing w:line="360" w:lineRule="auto"/>
        <w:ind w:left="567" w:hanging="283"/>
        <w:rPr>
          <w:rFonts w:ascii="Nunito Sans" w:hAnsi="Nunito Sans"/>
          <w:lang w:val="en-AU"/>
        </w:rPr>
      </w:pPr>
      <w:r>
        <w:rPr>
          <w:rFonts w:ascii="Nunito Sans" w:hAnsi="Nunito Sans"/>
          <w:lang w:val="en-AU"/>
        </w:rPr>
        <w:t>23</w:t>
      </w:r>
      <w:r w:rsidRPr="00F91A56">
        <w:rPr>
          <w:rFonts w:ascii="Nunito Sans" w:hAnsi="Nunito Sans"/>
          <w:lang w:val="en-AU"/>
        </w:rPr>
        <w:t xml:space="preserve">% of </w:t>
      </w:r>
      <w:r w:rsidR="1F909AAC" w:rsidRPr="29BB67C7">
        <w:rPr>
          <w:rFonts w:ascii="Nunito Sans" w:hAnsi="Nunito Sans"/>
          <w:lang w:val="en-AU"/>
        </w:rPr>
        <w:t>advocacy matters were provided to</w:t>
      </w:r>
      <w:r w:rsidR="385BADF7" w:rsidRPr="29BB67C7">
        <w:rPr>
          <w:rFonts w:ascii="Nunito Sans" w:hAnsi="Nunito Sans"/>
          <w:lang w:val="en-AU"/>
        </w:rPr>
        <w:t xml:space="preserve"> </w:t>
      </w:r>
      <w:r w:rsidRPr="00F91A56">
        <w:rPr>
          <w:rFonts w:ascii="Nunito Sans" w:hAnsi="Nunito Sans"/>
          <w:lang w:val="en-AU"/>
        </w:rPr>
        <w:t xml:space="preserve">people </w:t>
      </w:r>
      <w:r w:rsidR="042278BE" w:rsidRPr="29BB67C7">
        <w:rPr>
          <w:rFonts w:ascii="Nunito Sans" w:hAnsi="Nunito Sans"/>
          <w:lang w:val="en-AU"/>
        </w:rPr>
        <w:t xml:space="preserve">with </w:t>
      </w:r>
      <w:r w:rsidRPr="00F91A56">
        <w:rPr>
          <w:rFonts w:ascii="Nunito Sans" w:hAnsi="Nunito Sans"/>
          <w:lang w:val="en-AU"/>
        </w:rPr>
        <w:t>psychosocial disability as their primary disability </w:t>
      </w:r>
    </w:p>
    <w:p w14:paraId="57BFD545" w14:textId="4D9DD298" w:rsidR="00F91A56" w:rsidRPr="00F91A56" w:rsidRDefault="00A000C8" w:rsidP="00A42FDE">
      <w:pPr>
        <w:numPr>
          <w:ilvl w:val="0"/>
          <w:numId w:val="4"/>
        </w:numPr>
        <w:tabs>
          <w:tab w:val="clear" w:pos="720"/>
          <w:tab w:val="num" w:pos="567"/>
        </w:tabs>
        <w:spacing w:line="360" w:lineRule="auto"/>
        <w:ind w:left="567" w:hanging="283"/>
        <w:rPr>
          <w:rFonts w:ascii="Nunito Sans" w:hAnsi="Nunito Sans"/>
          <w:lang w:val="en-AU"/>
        </w:rPr>
      </w:pPr>
      <w:r>
        <w:rPr>
          <w:rFonts w:ascii="Nunito Sans" w:hAnsi="Nunito Sans"/>
          <w:lang w:val="en-AU"/>
        </w:rPr>
        <w:t>18</w:t>
      </w:r>
      <w:r w:rsidR="00F91A56" w:rsidRPr="00F91A56">
        <w:rPr>
          <w:rFonts w:ascii="Nunito Sans" w:hAnsi="Nunito Sans"/>
          <w:lang w:val="en-AU"/>
        </w:rPr>
        <w:t xml:space="preserve">% of </w:t>
      </w:r>
      <w:r w:rsidR="281C1B3A" w:rsidRPr="29BB67C7">
        <w:rPr>
          <w:rFonts w:ascii="Nunito Sans" w:hAnsi="Nunito Sans"/>
          <w:lang w:val="en-AU"/>
        </w:rPr>
        <w:t>advocacy</w:t>
      </w:r>
      <w:r w:rsidR="31FF0227" w:rsidRPr="29BB67C7">
        <w:rPr>
          <w:rFonts w:ascii="Nunito Sans" w:hAnsi="Nunito Sans"/>
          <w:lang w:val="en-AU"/>
        </w:rPr>
        <w:t xml:space="preserve"> matter</w:t>
      </w:r>
      <w:r w:rsidR="556096C8" w:rsidRPr="29BB67C7">
        <w:rPr>
          <w:rFonts w:ascii="Nunito Sans" w:hAnsi="Nunito Sans"/>
          <w:lang w:val="en-AU"/>
        </w:rPr>
        <w:t>s</w:t>
      </w:r>
      <w:r w:rsidR="31FF0227" w:rsidRPr="29BB67C7">
        <w:rPr>
          <w:rFonts w:ascii="Nunito Sans" w:hAnsi="Nunito Sans"/>
          <w:lang w:val="en-AU"/>
        </w:rPr>
        <w:t xml:space="preserve"> were provided to</w:t>
      </w:r>
      <w:r w:rsidR="64B897FF" w:rsidRPr="29BB67C7">
        <w:rPr>
          <w:rFonts w:ascii="Nunito Sans" w:hAnsi="Nunito Sans"/>
          <w:lang w:val="en-AU"/>
        </w:rPr>
        <w:t xml:space="preserve"> </w:t>
      </w:r>
      <w:r w:rsidR="00F91A56" w:rsidRPr="00F91A56">
        <w:rPr>
          <w:rFonts w:ascii="Nunito Sans" w:hAnsi="Nunito Sans"/>
          <w:lang w:val="en-AU"/>
        </w:rPr>
        <w:t xml:space="preserve">people </w:t>
      </w:r>
      <w:r w:rsidR="2F769855" w:rsidRPr="29BB67C7">
        <w:rPr>
          <w:rFonts w:ascii="Nunito Sans" w:hAnsi="Nunito Sans"/>
          <w:lang w:val="en-AU"/>
        </w:rPr>
        <w:t xml:space="preserve">with </w:t>
      </w:r>
      <w:r w:rsidR="00F91A56" w:rsidRPr="00F91A56">
        <w:rPr>
          <w:rFonts w:ascii="Nunito Sans" w:hAnsi="Nunito Sans"/>
          <w:lang w:val="en-AU"/>
        </w:rPr>
        <w:t>physical disability as their primary disability </w:t>
      </w:r>
    </w:p>
    <w:p w14:paraId="55C075C3" w14:textId="1AE56D7F" w:rsidR="00F91A56" w:rsidRPr="00F91A56" w:rsidRDefault="0E1BEA38" w:rsidP="00A42FDE">
      <w:pPr>
        <w:numPr>
          <w:ilvl w:val="0"/>
          <w:numId w:val="6"/>
        </w:numPr>
        <w:tabs>
          <w:tab w:val="clear" w:pos="720"/>
          <w:tab w:val="num" w:pos="567"/>
        </w:tabs>
        <w:spacing w:line="360" w:lineRule="auto"/>
        <w:ind w:left="567" w:hanging="283"/>
        <w:rPr>
          <w:rFonts w:ascii="Nunito Sans" w:hAnsi="Nunito Sans"/>
          <w:lang w:val="en-AU"/>
        </w:rPr>
      </w:pPr>
      <w:r w:rsidRPr="29BB67C7">
        <w:rPr>
          <w:rFonts w:ascii="Nunito Sans" w:hAnsi="Nunito Sans"/>
          <w:lang w:val="en-AU"/>
        </w:rPr>
        <w:t>44.6</w:t>
      </w:r>
      <w:r w:rsidR="00F91A56" w:rsidRPr="00F91A56">
        <w:rPr>
          <w:rFonts w:ascii="Nunito Sans" w:hAnsi="Nunito Sans"/>
          <w:lang w:val="en-AU"/>
        </w:rPr>
        <w:t xml:space="preserve">% of </w:t>
      </w:r>
      <w:r w:rsidR="71BA894D" w:rsidRPr="29BB67C7">
        <w:rPr>
          <w:rFonts w:ascii="Nunito Sans" w:hAnsi="Nunito Sans"/>
          <w:lang w:val="en-AU"/>
        </w:rPr>
        <w:t xml:space="preserve">advocacy matters involved a person who was not </w:t>
      </w:r>
      <w:r w:rsidR="5C6B044D" w:rsidRPr="29BB67C7">
        <w:rPr>
          <w:rFonts w:ascii="Nunito Sans" w:hAnsi="Nunito Sans"/>
          <w:lang w:val="en-AU"/>
        </w:rPr>
        <w:t>on the NDIS</w:t>
      </w:r>
      <w:r w:rsidR="00F91A56" w:rsidRPr="00F91A56">
        <w:rPr>
          <w:rFonts w:ascii="Nunito Sans" w:hAnsi="Nunito Sans"/>
          <w:lang w:val="en-AU"/>
        </w:rPr>
        <w:t>  </w:t>
      </w:r>
    </w:p>
    <w:p w14:paraId="6DC649D0" w14:textId="779C8890" w:rsidR="00F91A56" w:rsidRPr="00F91A56" w:rsidRDefault="00F91A56" w:rsidP="00A42FDE">
      <w:pPr>
        <w:numPr>
          <w:ilvl w:val="0"/>
          <w:numId w:val="8"/>
        </w:numPr>
        <w:tabs>
          <w:tab w:val="clear" w:pos="720"/>
          <w:tab w:val="num" w:pos="567"/>
        </w:tabs>
        <w:spacing w:line="360" w:lineRule="auto"/>
        <w:ind w:left="567" w:hanging="283"/>
        <w:rPr>
          <w:rFonts w:ascii="Nunito Sans" w:hAnsi="Nunito Sans"/>
          <w:lang w:val="en-AU"/>
        </w:rPr>
      </w:pPr>
      <w:r w:rsidRPr="00F91A56">
        <w:rPr>
          <w:rFonts w:ascii="Nunito Sans" w:hAnsi="Nunito Sans"/>
          <w:lang w:val="en-AU"/>
        </w:rPr>
        <w:t>1</w:t>
      </w:r>
      <w:r w:rsidR="0F2E2261" w:rsidRPr="29BB67C7">
        <w:rPr>
          <w:rFonts w:ascii="Nunito Sans" w:hAnsi="Nunito Sans"/>
          <w:lang w:val="en-AU"/>
        </w:rPr>
        <w:t>7</w:t>
      </w:r>
      <w:r w:rsidRPr="00F91A56">
        <w:rPr>
          <w:rFonts w:ascii="Nunito Sans" w:hAnsi="Nunito Sans"/>
          <w:lang w:val="en-AU"/>
        </w:rPr>
        <w:t xml:space="preserve">% of advocacy </w:t>
      </w:r>
      <w:r w:rsidR="3841ACB3" w:rsidRPr="29BB67C7">
        <w:rPr>
          <w:rFonts w:ascii="Nunito Sans" w:hAnsi="Nunito Sans"/>
          <w:lang w:val="en-AU"/>
        </w:rPr>
        <w:t>matters</w:t>
      </w:r>
      <w:r w:rsidRPr="00F91A56">
        <w:rPr>
          <w:rFonts w:ascii="Nunito Sans" w:hAnsi="Nunito Sans"/>
          <w:lang w:val="en-AU"/>
        </w:rPr>
        <w:t xml:space="preserve"> were delivered to Aboriginal and/ or Torres Strait </w:t>
      </w:r>
      <w:r w:rsidR="40F88A9E" w:rsidRPr="29BB67C7">
        <w:rPr>
          <w:rFonts w:ascii="Nunito Sans" w:hAnsi="Nunito Sans"/>
          <w:lang w:val="en-AU"/>
        </w:rPr>
        <w:t>Islander people</w:t>
      </w:r>
    </w:p>
    <w:p w14:paraId="6B0A94BD" w14:textId="4937BF64" w:rsidR="00F91A56" w:rsidRDefault="000B7E1F" w:rsidP="00A42FDE">
      <w:pPr>
        <w:numPr>
          <w:ilvl w:val="0"/>
          <w:numId w:val="9"/>
        </w:numPr>
        <w:tabs>
          <w:tab w:val="clear" w:pos="720"/>
          <w:tab w:val="num" w:pos="567"/>
        </w:tabs>
        <w:spacing w:line="360" w:lineRule="auto"/>
        <w:ind w:left="567" w:hanging="283"/>
        <w:rPr>
          <w:rFonts w:ascii="Nunito Sans" w:hAnsi="Nunito Sans"/>
          <w:lang w:val="en-AU"/>
        </w:rPr>
      </w:pPr>
      <w:r>
        <w:rPr>
          <w:rFonts w:ascii="Nunito Sans" w:hAnsi="Nunito Sans"/>
          <w:lang w:val="en-AU"/>
        </w:rPr>
        <w:t>2</w:t>
      </w:r>
      <w:r w:rsidR="77A8D98F" w:rsidRPr="29BB67C7">
        <w:rPr>
          <w:rFonts w:ascii="Nunito Sans" w:hAnsi="Nunito Sans"/>
          <w:lang w:val="en-AU"/>
        </w:rPr>
        <w:t>4</w:t>
      </w:r>
      <w:r w:rsidR="00F91A56" w:rsidRPr="00F91A56">
        <w:rPr>
          <w:rFonts w:ascii="Nunito Sans" w:hAnsi="Nunito Sans"/>
          <w:lang w:val="en-AU"/>
        </w:rPr>
        <w:t xml:space="preserve">% of advocacy </w:t>
      </w:r>
      <w:r w:rsidR="3B52E6ED" w:rsidRPr="29BB67C7">
        <w:rPr>
          <w:rFonts w:ascii="Nunito Sans" w:hAnsi="Nunito Sans"/>
          <w:lang w:val="en-AU"/>
        </w:rPr>
        <w:t xml:space="preserve">matters </w:t>
      </w:r>
      <w:r w:rsidR="00F91A56" w:rsidRPr="00F91A56">
        <w:rPr>
          <w:rFonts w:ascii="Nunito Sans" w:hAnsi="Nunito Sans"/>
          <w:lang w:val="en-AU"/>
        </w:rPr>
        <w:t>were delivered to people from a culturally and linguistically diverse background </w:t>
      </w:r>
    </w:p>
    <w:p w14:paraId="08181BC7" w14:textId="473172DB" w:rsidR="007458DA" w:rsidRDefault="00C003DE" w:rsidP="00A42FDE">
      <w:pPr>
        <w:numPr>
          <w:ilvl w:val="0"/>
          <w:numId w:val="9"/>
        </w:numPr>
        <w:tabs>
          <w:tab w:val="clear" w:pos="720"/>
          <w:tab w:val="num" w:pos="567"/>
        </w:tabs>
        <w:spacing w:line="360" w:lineRule="auto"/>
        <w:ind w:left="567" w:hanging="283"/>
        <w:rPr>
          <w:rFonts w:ascii="Nunito Sans" w:hAnsi="Nunito Sans"/>
          <w:lang w:val="en-AU"/>
        </w:rPr>
      </w:pPr>
      <w:r>
        <w:rPr>
          <w:rFonts w:ascii="Nunito Sans" w:hAnsi="Nunito Sans"/>
        </w:rPr>
        <w:t xml:space="preserve">At least </w:t>
      </w:r>
      <w:r w:rsidR="7E591B0D" w:rsidRPr="29BB67C7">
        <w:rPr>
          <w:rFonts w:ascii="Nunito Sans" w:hAnsi="Nunito Sans"/>
        </w:rPr>
        <w:t>17</w:t>
      </w:r>
      <w:r w:rsidR="51735B84" w:rsidRPr="29BB67C7">
        <w:rPr>
          <w:rFonts w:ascii="Nunito Sans" w:hAnsi="Nunito Sans"/>
        </w:rPr>
        <w:t>%</w:t>
      </w:r>
      <w:r w:rsidR="00B73F64" w:rsidRPr="29BB67C7">
        <w:rPr>
          <w:rFonts w:ascii="Nunito Sans" w:hAnsi="Nunito Sans"/>
        </w:rPr>
        <w:t xml:space="preserve"> of advocacy matters </w:t>
      </w:r>
      <w:r w:rsidR="172AE662" w:rsidRPr="29BB67C7">
        <w:rPr>
          <w:rFonts w:ascii="Nunito Sans" w:hAnsi="Nunito Sans"/>
        </w:rPr>
        <w:t>were provided to</w:t>
      </w:r>
      <w:r w:rsidR="00B73F64" w:rsidRPr="29BB67C7">
        <w:rPr>
          <w:rFonts w:ascii="Nunito Sans" w:hAnsi="Nunito Sans"/>
        </w:rPr>
        <w:t xml:space="preserve"> a person</w:t>
      </w:r>
      <w:r w:rsidR="007458DA" w:rsidRPr="007458DA">
        <w:rPr>
          <w:rFonts w:ascii="Nunito Sans" w:hAnsi="Nunito Sans"/>
        </w:rPr>
        <w:t xml:space="preserve"> experiencing domestic and family violence</w:t>
      </w:r>
    </w:p>
    <w:p w14:paraId="0AA241CD" w14:textId="519ECAD0" w:rsidR="00CF2ADE" w:rsidRPr="00F91A56" w:rsidRDefault="00EE6638" w:rsidP="00A42FDE">
      <w:pPr>
        <w:numPr>
          <w:ilvl w:val="0"/>
          <w:numId w:val="9"/>
        </w:numPr>
        <w:tabs>
          <w:tab w:val="clear" w:pos="720"/>
          <w:tab w:val="num" w:pos="567"/>
        </w:tabs>
        <w:spacing w:line="360" w:lineRule="auto"/>
        <w:ind w:left="567" w:hanging="283"/>
        <w:rPr>
          <w:rFonts w:ascii="Nunito Sans" w:hAnsi="Nunito Sans"/>
          <w:lang w:val="en-AU"/>
        </w:rPr>
      </w:pPr>
      <w:r>
        <w:rPr>
          <w:rFonts w:ascii="Nunito Sans" w:hAnsi="Nunito Sans"/>
          <w:lang w:val="en-AU"/>
        </w:rPr>
        <w:t xml:space="preserve">At least </w:t>
      </w:r>
      <w:r w:rsidR="796310CA" w:rsidRPr="29BB67C7">
        <w:rPr>
          <w:rFonts w:ascii="Nunito Sans" w:hAnsi="Nunito Sans"/>
          <w:lang w:val="en-AU"/>
        </w:rPr>
        <w:t>26</w:t>
      </w:r>
      <w:r w:rsidR="00CF2ADE">
        <w:rPr>
          <w:rFonts w:ascii="Nunito Sans" w:hAnsi="Nunito Sans"/>
          <w:lang w:val="en-AU"/>
        </w:rPr>
        <w:t xml:space="preserve">% </w:t>
      </w:r>
      <w:r w:rsidRPr="00EE6638">
        <w:rPr>
          <w:rFonts w:ascii="Nunito Sans" w:hAnsi="Nunito Sans"/>
        </w:rPr>
        <w:t xml:space="preserve">of </w:t>
      </w:r>
      <w:r w:rsidR="34C67590" w:rsidRPr="29BB67C7">
        <w:rPr>
          <w:rFonts w:ascii="Nunito Sans" w:hAnsi="Nunito Sans"/>
        </w:rPr>
        <w:t xml:space="preserve">advocacy matters </w:t>
      </w:r>
      <w:r w:rsidR="194507DE" w:rsidRPr="29BB67C7">
        <w:rPr>
          <w:rFonts w:ascii="Nunito Sans" w:hAnsi="Nunito Sans"/>
        </w:rPr>
        <w:t>were provided to a person</w:t>
      </w:r>
      <w:r w:rsidRPr="00EE6638">
        <w:rPr>
          <w:rFonts w:ascii="Nunito Sans" w:hAnsi="Nunito Sans"/>
        </w:rPr>
        <w:t xml:space="preserve"> </w:t>
      </w:r>
      <w:r w:rsidR="773F626A" w:rsidRPr="29BB67C7">
        <w:rPr>
          <w:rFonts w:ascii="Nunito Sans" w:hAnsi="Nunito Sans"/>
        </w:rPr>
        <w:t>who was experiencing, or was at risk of experiencing,</w:t>
      </w:r>
      <w:r w:rsidRPr="00EE6638">
        <w:rPr>
          <w:rFonts w:ascii="Nunito Sans" w:hAnsi="Nunito Sans"/>
        </w:rPr>
        <w:t xml:space="preserve"> homelessness. </w:t>
      </w:r>
    </w:p>
    <w:p w14:paraId="6E651ABC" w14:textId="27821CF0" w:rsidR="00A451BA" w:rsidRPr="007820CD" w:rsidRDefault="002F43FE" w:rsidP="00F172F0">
      <w:pPr>
        <w:spacing w:line="360" w:lineRule="auto"/>
        <w:rPr>
          <w:rFonts w:ascii="Nunito Sans" w:hAnsi="Nunito Sans"/>
        </w:rPr>
      </w:pPr>
      <w:r>
        <w:rPr>
          <w:rFonts w:ascii="Nunito Sans" w:hAnsi="Nunito Sans"/>
        </w:rPr>
        <w:t xml:space="preserve">In addition to QIDAN’s data, the QHRC reports that impairment or disability discrimination continues to be the </w:t>
      </w:r>
      <w:proofErr w:type="gramStart"/>
      <w:r>
        <w:rPr>
          <w:rFonts w:ascii="Nunito Sans" w:hAnsi="Nunito Sans"/>
        </w:rPr>
        <w:t>most commonly accepted</w:t>
      </w:r>
      <w:proofErr w:type="gramEnd"/>
      <w:r>
        <w:rPr>
          <w:rFonts w:ascii="Nunito Sans" w:hAnsi="Nunito Sans"/>
        </w:rPr>
        <w:t xml:space="preserve"> </w:t>
      </w:r>
      <w:r w:rsidRPr="00710E7A">
        <w:rPr>
          <w:rFonts w:ascii="Nunito Sans" w:hAnsi="Nunito Sans"/>
        </w:rPr>
        <w:t xml:space="preserve">complaint. In the 2024-25 financial year, </w:t>
      </w:r>
      <w:r w:rsidR="0066566E" w:rsidRPr="00710E7A">
        <w:rPr>
          <w:rFonts w:ascii="Nunito Sans" w:hAnsi="Nunito Sans"/>
        </w:rPr>
        <w:t>63</w:t>
      </w:r>
      <w:r w:rsidR="002C31AA" w:rsidRPr="00710E7A">
        <w:rPr>
          <w:rFonts w:ascii="Nunito Sans" w:hAnsi="Nunito Sans"/>
        </w:rPr>
        <w:t>% of complaints</w:t>
      </w:r>
      <w:r w:rsidR="00D769E7" w:rsidRPr="00710E7A">
        <w:rPr>
          <w:rFonts w:ascii="Nunito Sans" w:hAnsi="Nunito Sans"/>
        </w:rPr>
        <w:t xml:space="preserve"> (or 305)</w:t>
      </w:r>
      <w:r w:rsidR="002C31AA" w:rsidRPr="00710E7A">
        <w:rPr>
          <w:rFonts w:ascii="Nunito Sans" w:hAnsi="Nunito Sans"/>
        </w:rPr>
        <w:t xml:space="preserve"> received by </w:t>
      </w:r>
      <w:r w:rsidRPr="00710E7A">
        <w:rPr>
          <w:rFonts w:ascii="Nunito Sans" w:hAnsi="Nunito Sans"/>
        </w:rPr>
        <w:t>the QHRC</w:t>
      </w:r>
      <w:r w:rsidR="008D0DB9" w:rsidRPr="00710E7A">
        <w:rPr>
          <w:rFonts w:ascii="Nunito Sans" w:hAnsi="Nunito Sans"/>
        </w:rPr>
        <w:t xml:space="preserve"> were about disability discrimination</w:t>
      </w:r>
      <w:r w:rsidR="00410720" w:rsidRPr="00710E7A">
        <w:rPr>
          <w:rFonts w:ascii="Nunito Sans" w:hAnsi="Nunito Sans"/>
        </w:rPr>
        <w:t>.</w:t>
      </w:r>
      <w:r w:rsidR="00705178">
        <w:rPr>
          <w:rStyle w:val="FootnoteReference"/>
          <w:rFonts w:ascii="Nunito Sans" w:hAnsi="Nunito Sans"/>
        </w:rPr>
        <w:footnoteReference w:id="2"/>
      </w:r>
      <w:r w:rsidR="00410720" w:rsidRPr="00710E7A">
        <w:rPr>
          <w:rFonts w:ascii="Nunito Sans" w:hAnsi="Nunito Sans"/>
        </w:rPr>
        <w:t xml:space="preserve"> Of these, 99 were work related, 91 were about goods and services, 61 were about state laws and programs</w:t>
      </w:r>
      <w:r w:rsidR="008E4EBF" w:rsidRPr="00710E7A">
        <w:rPr>
          <w:rFonts w:ascii="Nunito Sans" w:hAnsi="Nunito Sans"/>
        </w:rPr>
        <w:t>, 44 were education related and 30 were about accommodation</w:t>
      </w:r>
      <w:r w:rsidR="009473DF" w:rsidRPr="00710E7A">
        <w:rPr>
          <w:rFonts w:ascii="Nunito Sans" w:hAnsi="Nunito Sans"/>
        </w:rPr>
        <w:t>.</w:t>
      </w:r>
    </w:p>
    <w:p w14:paraId="056A2EC4" w14:textId="55081930" w:rsidR="004B025D" w:rsidRDefault="003049F3" w:rsidP="00F172F0">
      <w:pPr>
        <w:spacing w:line="360" w:lineRule="auto"/>
        <w:rPr>
          <w:rFonts w:ascii="Nunito Sans" w:hAnsi="Nunito Sans"/>
        </w:rPr>
      </w:pPr>
      <w:r>
        <w:rPr>
          <w:rFonts w:ascii="Nunito Sans" w:hAnsi="Nunito Sans"/>
        </w:rPr>
        <w:lastRenderedPageBreak/>
        <w:t xml:space="preserve">The </w:t>
      </w:r>
      <w:r w:rsidR="00E04051">
        <w:rPr>
          <w:rFonts w:ascii="Nunito Sans" w:hAnsi="Nunito Sans"/>
        </w:rPr>
        <w:t>Queensland</w:t>
      </w:r>
      <w:r w:rsidR="00AB3E15">
        <w:rPr>
          <w:rFonts w:ascii="Nunito Sans" w:hAnsi="Nunito Sans"/>
        </w:rPr>
        <w:t xml:space="preserve"> </w:t>
      </w:r>
      <w:r w:rsidR="00AB3E15" w:rsidRPr="000F37C2">
        <w:rPr>
          <w:rFonts w:ascii="Nunito Sans" w:hAnsi="Nunito Sans"/>
          <w:i/>
          <w:iCs/>
        </w:rPr>
        <w:t>Anti-Discrimination Act</w:t>
      </w:r>
      <w:r w:rsidR="000F37C2" w:rsidRPr="000F37C2">
        <w:rPr>
          <w:rFonts w:ascii="Nunito Sans" w:hAnsi="Nunito Sans"/>
          <w:i/>
          <w:iCs/>
        </w:rPr>
        <w:t xml:space="preserve"> 1991</w:t>
      </w:r>
      <w:r w:rsidR="00AB3E15">
        <w:rPr>
          <w:rFonts w:ascii="Nunito Sans" w:hAnsi="Nunito Sans"/>
        </w:rPr>
        <w:t xml:space="preserve"> </w:t>
      </w:r>
      <w:r w:rsidR="000F37C2">
        <w:rPr>
          <w:rFonts w:ascii="Nunito Sans" w:hAnsi="Nunito Sans"/>
        </w:rPr>
        <w:t>(</w:t>
      </w:r>
      <w:r w:rsidR="000F37C2" w:rsidRPr="000F37C2">
        <w:rPr>
          <w:rFonts w:ascii="Nunito Sans" w:hAnsi="Nunito Sans"/>
          <w:b/>
          <w:bCs/>
        </w:rPr>
        <w:t>the ADA</w:t>
      </w:r>
      <w:r w:rsidR="000F37C2">
        <w:rPr>
          <w:rFonts w:ascii="Nunito Sans" w:hAnsi="Nunito Sans"/>
        </w:rPr>
        <w:t xml:space="preserve">) </w:t>
      </w:r>
      <w:r w:rsidR="009D1933">
        <w:rPr>
          <w:rFonts w:ascii="Nunito Sans" w:hAnsi="Nunito Sans"/>
        </w:rPr>
        <w:t>was reviewed by the QHRC in 2020-21</w:t>
      </w:r>
      <w:r w:rsidR="0065099D">
        <w:rPr>
          <w:rFonts w:ascii="Nunito Sans" w:hAnsi="Nunito Sans"/>
        </w:rPr>
        <w:t>, which resulted in</w:t>
      </w:r>
      <w:r w:rsidR="009559FB">
        <w:rPr>
          <w:rFonts w:ascii="Nunito Sans" w:hAnsi="Nunito Sans"/>
        </w:rPr>
        <w:t xml:space="preserve"> the Building Belonging report</w:t>
      </w:r>
      <w:r w:rsidR="003079C1">
        <w:rPr>
          <w:rFonts w:ascii="Nunito Sans" w:hAnsi="Nunito Sans"/>
        </w:rPr>
        <w:t>.</w:t>
      </w:r>
      <w:r w:rsidR="003079C1">
        <w:rPr>
          <w:rStyle w:val="FootnoteReference"/>
          <w:rFonts w:ascii="Nunito Sans" w:hAnsi="Nunito Sans"/>
        </w:rPr>
        <w:footnoteReference w:id="3"/>
      </w:r>
      <w:r w:rsidR="0065099D">
        <w:rPr>
          <w:rFonts w:ascii="Nunito Sans" w:hAnsi="Nunito Sans"/>
        </w:rPr>
        <w:t xml:space="preserve"> </w:t>
      </w:r>
      <w:r w:rsidR="000D26CB">
        <w:rPr>
          <w:rFonts w:ascii="Nunito Sans" w:hAnsi="Nunito Sans"/>
        </w:rPr>
        <w:t xml:space="preserve">The </w:t>
      </w:r>
      <w:r w:rsidR="00CF1499">
        <w:rPr>
          <w:rFonts w:ascii="Nunito Sans" w:hAnsi="Nunito Sans"/>
        </w:rPr>
        <w:t xml:space="preserve">proposed changes in the report </w:t>
      </w:r>
      <w:r w:rsidR="000D26CB">
        <w:rPr>
          <w:rFonts w:ascii="Nunito Sans" w:hAnsi="Nunito Sans"/>
        </w:rPr>
        <w:t xml:space="preserve">have been extensively consulted on and are widely supported by the community. Many </w:t>
      </w:r>
      <w:r w:rsidR="0082683F">
        <w:rPr>
          <w:rFonts w:ascii="Nunito Sans" w:hAnsi="Nunito Sans"/>
        </w:rPr>
        <w:t>members</w:t>
      </w:r>
      <w:r w:rsidR="000D26CB">
        <w:rPr>
          <w:rFonts w:ascii="Nunito Sans" w:hAnsi="Nunito Sans"/>
        </w:rPr>
        <w:t xml:space="preserve"> of QIDAN have been involved in that consultation process.</w:t>
      </w:r>
      <w:r w:rsidR="006E2FE4">
        <w:rPr>
          <w:rFonts w:ascii="Nunito Sans" w:hAnsi="Nunito Sans"/>
        </w:rPr>
        <w:t xml:space="preserve"> The Building Belonging report resulted in </w:t>
      </w:r>
      <w:r w:rsidR="00D66748">
        <w:rPr>
          <w:rFonts w:ascii="Nunito Sans" w:hAnsi="Nunito Sans"/>
        </w:rPr>
        <w:t xml:space="preserve">proposed </w:t>
      </w:r>
      <w:r w:rsidR="006E2FE4">
        <w:rPr>
          <w:rFonts w:ascii="Nunito Sans" w:hAnsi="Nunito Sans"/>
        </w:rPr>
        <w:t>legislat</w:t>
      </w:r>
      <w:r w:rsidR="00047935">
        <w:rPr>
          <w:rFonts w:ascii="Nunito Sans" w:hAnsi="Nunito Sans"/>
        </w:rPr>
        <w:t>ive</w:t>
      </w:r>
      <w:r w:rsidR="006E2FE4">
        <w:rPr>
          <w:rFonts w:ascii="Nunito Sans" w:hAnsi="Nunito Sans"/>
        </w:rPr>
        <w:t xml:space="preserve"> </w:t>
      </w:r>
      <w:r w:rsidR="009C07CB">
        <w:rPr>
          <w:rFonts w:ascii="Nunito Sans" w:hAnsi="Nunito Sans"/>
        </w:rPr>
        <w:t xml:space="preserve">changes to the </w:t>
      </w:r>
      <w:r w:rsidR="00047935">
        <w:rPr>
          <w:rFonts w:ascii="Nunito Sans" w:hAnsi="Nunito Sans"/>
        </w:rPr>
        <w:t>ADA</w:t>
      </w:r>
      <w:r w:rsidR="009C07CB">
        <w:rPr>
          <w:rFonts w:ascii="Nunito Sans" w:hAnsi="Nunito Sans"/>
        </w:rPr>
        <w:t xml:space="preserve"> </w:t>
      </w:r>
      <w:r w:rsidR="002F38C4">
        <w:rPr>
          <w:rFonts w:ascii="Nunito Sans" w:hAnsi="Nunito Sans"/>
        </w:rPr>
        <w:t xml:space="preserve">that were </w:t>
      </w:r>
      <w:r w:rsidR="00750F30">
        <w:rPr>
          <w:rFonts w:ascii="Nunito Sans" w:hAnsi="Nunito Sans"/>
        </w:rPr>
        <w:t>due to commence on 1 July 2025</w:t>
      </w:r>
      <w:r w:rsidR="002F38C4">
        <w:rPr>
          <w:rFonts w:ascii="Nunito Sans" w:hAnsi="Nunito Sans"/>
        </w:rPr>
        <w:t>,</w:t>
      </w:r>
      <w:r w:rsidR="00750F30">
        <w:rPr>
          <w:rFonts w:ascii="Nunito Sans" w:hAnsi="Nunito Sans"/>
        </w:rPr>
        <w:t xml:space="preserve"> but</w:t>
      </w:r>
      <w:r w:rsidR="009C07CB">
        <w:rPr>
          <w:rFonts w:ascii="Nunito Sans" w:hAnsi="Nunito Sans"/>
        </w:rPr>
        <w:t xml:space="preserve"> </w:t>
      </w:r>
      <w:r w:rsidR="00DD35D3">
        <w:rPr>
          <w:rFonts w:ascii="Nunito Sans" w:hAnsi="Nunito Sans"/>
        </w:rPr>
        <w:t>to our disappoin</w:t>
      </w:r>
      <w:r w:rsidR="00B0292B">
        <w:rPr>
          <w:rFonts w:ascii="Nunito Sans" w:hAnsi="Nunito Sans"/>
        </w:rPr>
        <w:t xml:space="preserve">tment </w:t>
      </w:r>
      <w:r w:rsidR="002F38C4">
        <w:rPr>
          <w:rFonts w:ascii="Nunito Sans" w:hAnsi="Nunito Sans"/>
        </w:rPr>
        <w:t>they have</w:t>
      </w:r>
      <w:r w:rsidR="009C07CB">
        <w:rPr>
          <w:rFonts w:ascii="Nunito Sans" w:hAnsi="Nunito Sans"/>
        </w:rPr>
        <w:t xml:space="preserve"> been postponed until further notice.</w:t>
      </w:r>
      <w:r w:rsidR="00CC5595">
        <w:rPr>
          <w:rStyle w:val="FootnoteReference"/>
          <w:rFonts w:ascii="Nunito Sans" w:hAnsi="Nunito Sans"/>
        </w:rPr>
        <w:footnoteReference w:id="4"/>
      </w:r>
      <w:r w:rsidR="00750F30">
        <w:rPr>
          <w:rFonts w:ascii="Nunito Sans" w:hAnsi="Nunito Sans"/>
        </w:rPr>
        <w:t xml:space="preserve"> </w:t>
      </w:r>
      <w:r w:rsidR="00977ABF">
        <w:rPr>
          <w:rFonts w:ascii="Nunito Sans" w:hAnsi="Nunito Sans"/>
        </w:rPr>
        <w:t xml:space="preserve"> </w:t>
      </w:r>
      <w:r w:rsidR="423120D1">
        <w:rPr>
          <w:rFonts w:ascii="Nunito Sans" w:hAnsi="Nunito Sans"/>
        </w:rPr>
        <w:t>T</w:t>
      </w:r>
      <w:r w:rsidR="00977ABF">
        <w:rPr>
          <w:rFonts w:ascii="Nunito Sans" w:hAnsi="Nunito Sans"/>
        </w:rPr>
        <w:t xml:space="preserve">he Building Belonging report </w:t>
      </w:r>
      <w:r w:rsidR="490C2909">
        <w:rPr>
          <w:rFonts w:ascii="Nunito Sans" w:hAnsi="Nunito Sans"/>
        </w:rPr>
        <w:t>proposed many changes</w:t>
      </w:r>
      <w:r w:rsidR="00977ABF">
        <w:rPr>
          <w:rFonts w:ascii="Nunito Sans" w:hAnsi="Nunito Sans"/>
        </w:rPr>
        <w:t xml:space="preserve"> that are relevant to the DDA Review, which we will address </w:t>
      </w:r>
      <w:r w:rsidR="00FF482C">
        <w:rPr>
          <w:rFonts w:ascii="Nunito Sans" w:hAnsi="Nunito Sans"/>
        </w:rPr>
        <w:t>in this submission.</w:t>
      </w:r>
      <w:r w:rsidR="009C07CB">
        <w:rPr>
          <w:rFonts w:ascii="Nunito Sans" w:hAnsi="Nunito Sans"/>
        </w:rPr>
        <w:t xml:space="preserve"> </w:t>
      </w:r>
    </w:p>
    <w:p w14:paraId="2C0A6BB8" w14:textId="0C326C1C" w:rsidR="00BC0489" w:rsidRDefault="00FF482C" w:rsidP="00F172F0">
      <w:pPr>
        <w:spacing w:line="360" w:lineRule="auto"/>
        <w:rPr>
          <w:rFonts w:ascii="Nunito Sans" w:hAnsi="Nunito Sans"/>
        </w:rPr>
      </w:pPr>
      <w:r>
        <w:rPr>
          <w:rFonts w:ascii="Nunito Sans" w:hAnsi="Nunito Sans"/>
        </w:rPr>
        <w:t>Our</w:t>
      </w:r>
      <w:r w:rsidR="00F172F0" w:rsidRPr="007820CD">
        <w:rPr>
          <w:rFonts w:ascii="Nunito Sans" w:hAnsi="Nunito Sans"/>
        </w:rPr>
        <w:t xml:space="preserve"> response to the </w:t>
      </w:r>
      <w:r>
        <w:rPr>
          <w:rFonts w:ascii="Nunito Sans" w:hAnsi="Nunito Sans"/>
        </w:rPr>
        <w:t>DDA Review</w:t>
      </w:r>
      <w:r w:rsidR="00F172F0" w:rsidRPr="007820CD">
        <w:rPr>
          <w:rFonts w:ascii="Nunito Sans" w:hAnsi="Nunito Sans"/>
        </w:rPr>
        <w:t xml:space="preserve"> is informed by QIDAN’s experience working with </w:t>
      </w:r>
    </w:p>
    <w:p w14:paraId="2D7FEEBA" w14:textId="30E3F447" w:rsidR="00D80627" w:rsidRDefault="00F172F0" w:rsidP="00A57463">
      <w:pPr>
        <w:spacing w:line="360" w:lineRule="auto"/>
        <w:rPr>
          <w:rFonts w:ascii="Nunito Sans" w:hAnsi="Nunito Sans"/>
        </w:rPr>
      </w:pPr>
      <w:r w:rsidRPr="308FB332">
        <w:rPr>
          <w:rFonts w:ascii="Nunito Sans" w:hAnsi="Nunito Sans"/>
        </w:rPr>
        <w:t xml:space="preserve">people with disability who </w:t>
      </w:r>
      <w:r w:rsidR="004B7A63">
        <w:rPr>
          <w:rFonts w:ascii="Nunito Sans" w:hAnsi="Nunito Sans"/>
        </w:rPr>
        <w:t xml:space="preserve">seek our assistance to deal with discriminatory systems </w:t>
      </w:r>
      <w:r w:rsidR="00926327">
        <w:rPr>
          <w:rFonts w:ascii="Nunito Sans" w:hAnsi="Nunito Sans"/>
        </w:rPr>
        <w:t>or who seek assistance to deal with discrimination complaints</w:t>
      </w:r>
      <w:r w:rsidRPr="308FB332">
        <w:rPr>
          <w:rFonts w:ascii="Nunito Sans" w:hAnsi="Nunito Sans"/>
        </w:rPr>
        <w:t xml:space="preserve">. We hope that our insights can provide </w:t>
      </w:r>
      <w:r w:rsidR="00DD35D3">
        <w:rPr>
          <w:rFonts w:ascii="Nunito Sans" w:hAnsi="Nunito Sans"/>
        </w:rPr>
        <w:t>unique considerations</w:t>
      </w:r>
      <w:r w:rsidRPr="308FB332">
        <w:rPr>
          <w:rFonts w:ascii="Nunito Sans" w:hAnsi="Nunito Sans"/>
        </w:rPr>
        <w:t xml:space="preserve"> on how we can work toward a </w:t>
      </w:r>
      <w:r w:rsidR="00DD35D3">
        <w:rPr>
          <w:rFonts w:ascii="Nunito Sans" w:hAnsi="Nunito Sans"/>
        </w:rPr>
        <w:t>more inclusive Australia, free from discrimination and hate</w:t>
      </w:r>
      <w:r w:rsidRPr="308FB332">
        <w:rPr>
          <w:rFonts w:ascii="Nunito Sans" w:hAnsi="Nunito Sans"/>
        </w:rPr>
        <w:t xml:space="preserve">. </w:t>
      </w:r>
    </w:p>
    <w:p w14:paraId="48347B2E" w14:textId="77777777" w:rsidR="000847FA" w:rsidRDefault="000847FA" w:rsidP="00A57463">
      <w:pPr>
        <w:spacing w:line="360" w:lineRule="auto"/>
        <w:rPr>
          <w:rFonts w:ascii="Nunito Sans" w:hAnsi="Nunito Sans"/>
        </w:rPr>
      </w:pPr>
    </w:p>
    <w:p w14:paraId="2EB5B47B" w14:textId="77777777" w:rsidR="005A4300" w:rsidRDefault="005A4300" w:rsidP="00A57463">
      <w:pPr>
        <w:spacing w:line="360" w:lineRule="auto"/>
        <w:rPr>
          <w:rFonts w:ascii="Nunito Sans" w:hAnsi="Nunito Sans"/>
        </w:rPr>
      </w:pPr>
    </w:p>
    <w:p w14:paraId="16C19229" w14:textId="77777777" w:rsidR="000847FA" w:rsidRDefault="000847FA" w:rsidP="00A57463">
      <w:pPr>
        <w:spacing w:line="360" w:lineRule="auto"/>
        <w:rPr>
          <w:rFonts w:ascii="Nunito Sans" w:hAnsi="Nunito Sans"/>
        </w:rPr>
      </w:pPr>
    </w:p>
    <w:p w14:paraId="44843F00" w14:textId="77777777" w:rsidR="000847FA" w:rsidRDefault="000847FA" w:rsidP="00A57463">
      <w:pPr>
        <w:spacing w:line="360" w:lineRule="auto"/>
        <w:rPr>
          <w:rFonts w:ascii="Nunito Sans" w:hAnsi="Nunito Sans"/>
        </w:rPr>
      </w:pPr>
    </w:p>
    <w:p w14:paraId="4860ED0B" w14:textId="77777777" w:rsidR="000847FA" w:rsidRDefault="000847FA" w:rsidP="00A57463">
      <w:pPr>
        <w:spacing w:line="360" w:lineRule="auto"/>
        <w:rPr>
          <w:rFonts w:ascii="Nunito Sans" w:hAnsi="Nunito Sans"/>
        </w:rPr>
      </w:pPr>
    </w:p>
    <w:p w14:paraId="53A8A15D" w14:textId="77777777" w:rsidR="0080685F" w:rsidRDefault="0080685F" w:rsidP="00A57463">
      <w:pPr>
        <w:spacing w:line="360" w:lineRule="auto"/>
        <w:rPr>
          <w:rFonts w:ascii="Nunito Sans" w:hAnsi="Nunito Sans"/>
        </w:rPr>
      </w:pPr>
    </w:p>
    <w:p w14:paraId="7B556925" w14:textId="77777777" w:rsidR="0080685F" w:rsidRDefault="0080685F" w:rsidP="00A57463">
      <w:pPr>
        <w:spacing w:line="360" w:lineRule="auto"/>
        <w:rPr>
          <w:rFonts w:ascii="Nunito Sans" w:hAnsi="Nunito Sans"/>
        </w:rPr>
      </w:pPr>
    </w:p>
    <w:p w14:paraId="6370A15C" w14:textId="77777777" w:rsidR="00BA08CD" w:rsidRDefault="00BA08CD" w:rsidP="00A57463">
      <w:pPr>
        <w:spacing w:line="360" w:lineRule="auto"/>
        <w:rPr>
          <w:rFonts w:ascii="Nunito Sans" w:hAnsi="Nunito Sans"/>
        </w:rPr>
      </w:pPr>
    </w:p>
    <w:p w14:paraId="39796460" w14:textId="77777777" w:rsidR="0080685F" w:rsidRPr="00A57463" w:rsidRDefault="0080685F" w:rsidP="00A57463">
      <w:pPr>
        <w:spacing w:line="360" w:lineRule="auto"/>
        <w:rPr>
          <w:rFonts w:ascii="Nunito Sans" w:hAnsi="Nunito Sans"/>
        </w:rPr>
      </w:pPr>
    </w:p>
    <w:p w14:paraId="1626C860" w14:textId="600A4574" w:rsidR="00A57463" w:rsidRPr="00A57463" w:rsidRDefault="00FA5377" w:rsidP="00A57463">
      <w:pPr>
        <w:pStyle w:val="Heading1"/>
        <w:rPr>
          <w:rFonts w:ascii="Nunito Sans" w:hAnsi="Nunito Sans" w:cs="Poppins SemiBold"/>
          <w:b/>
          <w:color w:val="690048"/>
          <w:sz w:val="28"/>
          <w:szCs w:val="28"/>
        </w:rPr>
      </w:pPr>
      <w:bookmarkStart w:id="3" w:name="_Toc212816945"/>
      <w:r w:rsidRPr="308FB332">
        <w:rPr>
          <w:rFonts w:ascii="Nunito Sans" w:hAnsi="Nunito Sans" w:cs="Poppins SemiBold"/>
          <w:b/>
          <w:bCs/>
          <w:color w:val="690048"/>
          <w:sz w:val="28"/>
          <w:szCs w:val="28"/>
        </w:rPr>
        <w:lastRenderedPageBreak/>
        <w:t>Recommendations</w:t>
      </w:r>
      <w:bookmarkEnd w:id="3"/>
    </w:p>
    <w:p w14:paraId="0445D49F" w14:textId="730DDEBA" w:rsidR="00D4579F" w:rsidRDefault="00634E83" w:rsidP="00783298">
      <w:pPr>
        <w:pStyle w:val="QIDANParagraph"/>
        <w:numPr>
          <w:ilvl w:val="0"/>
          <w:numId w:val="12"/>
        </w:numPr>
        <w:ind w:left="426" w:hanging="426"/>
      </w:pPr>
      <w:r w:rsidRPr="008A6E43">
        <w:rPr>
          <w:b/>
          <w:bCs/>
        </w:rPr>
        <w:t xml:space="preserve">Include </w:t>
      </w:r>
      <w:r w:rsidR="00BF73E2" w:rsidRPr="008A6E43">
        <w:rPr>
          <w:b/>
          <w:bCs/>
        </w:rPr>
        <w:t>the Convention on the Rights of Persons with Disabilities in the objects of the DDA</w:t>
      </w:r>
      <w:r w:rsidR="00974780">
        <w:t xml:space="preserve">. This should </w:t>
      </w:r>
      <w:r w:rsidR="00E06AD8">
        <w:t xml:space="preserve">expressly require the DDA is interpreted </w:t>
      </w:r>
      <w:r w:rsidR="009829BC">
        <w:t>in line with international treaties.</w:t>
      </w:r>
    </w:p>
    <w:p w14:paraId="4B94E477" w14:textId="3A4A4FF6" w:rsidR="000847FA" w:rsidRDefault="008D59D7" w:rsidP="00783298">
      <w:pPr>
        <w:pStyle w:val="QIDANParagraph"/>
        <w:numPr>
          <w:ilvl w:val="0"/>
          <w:numId w:val="12"/>
        </w:numPr>
        <w:ind w:left="426" w:hanging="426"/>
      </w:pPr>
      <w:r w:rsidRPr="00B969D1">
        <w:rPr>
          <w:b/>
          <w:bCs/>
        </w:rPr>
        <w:t>The definition of disability must use respectful and affirming language</w:t>
      </w:r>
      <w:r>
        <w:t xml:space="preserve"> and reflect the rights of people with disability</w:t>
      </w:r>
      <w:r w:rsidR="00B87880">
        <w:t>, and it must</w:t>
      </w:r>
      <w:r w:rsidR="00B87880">
        <w:rPr>
          <w:lang w:val="en-GB"/>
        </w:rPr>
        <w:t xml:space="preserve"> u</w:t>
      </w:r>
      <w:r w:rsidR="00B87880" w:rsidRPr="00D869AE">
        <w:rPr>
          <w:lang w:val="en-GB"/>
        </w:rPr>
        <w:t>se language inclusive of people with neurodiversity</w:t>
      </w:r>
      <w:r>
        <w:t>. We recommend the removal of references to outdated and inappropriate language such as 'malfunction', 'malformation' and 'disfigurement' (in paragraphs (e) and (f) of the definition).</w:t>
      </w:r>
      <w:r w:rsidR="00B87880">
        <w:t xml:space="preserve"> </w:t>
      </w:r>
    </w:p>
    <w:p w14:paraId="7D6417C4" w14:textId="77777777" w:rsidR="00962779" w:rsidRDefault="007C7231" w:rsidP="00783298">
      <w:pPr>
        <w:pStyle w:val="QIDANParagraph"/>
        <w:numPr>
          <w:ilvl w:val="0"/>
          <w:numId w:val="12"/>
        </w:numPr>
        <w:ind w:left="426" w:hanging="426"/>
      </w:pPr>
      <w:r w:rsidRPr="00B969D1">
        <w:rPr>
          <w:b/>
          <w:bCs/>
        </w:rPr>
        <w:t xml:space="preserve">Remove the </w:t>
      </w:r>
      <w:r w:rsidR="001F017F" w:rsidRPr="00B969D1">
        <w:rPr>
          <w:b/>
          <w:bCs/>
        </w:rPr>
        <w:t xml:space="preserve">direct discrimination </w:t>
      </w:r>
      <w:r w:rsidRPr="00B969D1">
        <w:rPr>
          <w:b/>
          <w:bCs/>
        </w:rPr>
        <w:t xml:space="preserve">comparator test </w:t>
      </w:r>
      <w:r w:rsidR="001F017F" w:rsidRPr="00B969D1">
        <w:rPr>
          <w:b/>
          <w:bCs/>
        </w:rPr>
        <w:t>from the DDA</w:t>
      </w:r>
      <w:r w:rsidR="001F017F" w:rsidRPr="00B82287">
        <w:t>, as in the DRC</w:t>
      </w:r>
      <w:r w:rsidR="0092306A" w:rsidRPr="00B82287">
        <w:t xml:space="preserve"> recommendation 4.23.</w:t>
      </w:r>
      <w:r w:rsidR="001F017F">
        <w:t xml:space="preserve"> </w:t>
      </w:r>
    </w:p>
    <w:p w14:paraId="4380C929" w14:textId="474D2DAD" w:rsidR="001D12B7" w:rsidRPr="001D12B7" w:rsidRDefault="002C4F2D" w:rsidP="00783298">
      <w:pPr>
        <w:pStyle w:val="QIDANParagraph"/>
        <w:numPr>
          <w:ilvl w:val="0"/>
          <w:numId w:val="12"/>
        </w:numPr>
        <w:ind w:left="426" w:hanging="426"/>
      </w:pPr>
      <w:r w:rsidRPr="00B969D1">
        <w:rPr>
          <w:b/>
          <w:bCs/>
        </w:rPr>
        <w:t>Allow claims to be brought for multiple or combined protected attributes</w:t>
      </w:r>
      <w:r w:rsidR="00962779">
        <w:t xml:space="preserve">, </w:t>
      </w:r>
      <w:r>
        <w:t>strengthen</w:t>
      </w:r>
      <w:r w:rsidR="00962779">
        <w:t xml:space="preserve">ing </w:t>
      </w:r>
      <w:r>
        <w:t xml:space="preserve">the DDA </w:t>
      </w:r>
      <w:r w:rsidR="008D53E0">
        <w:t xml:space="preserve">and </w:t>
      </w:r>
      <w:r>
        <w:t>making it compliant with article 5 of the CRPD</w:t>
      </w:r>
      <w:r w:rsidR="008D53E0">
        <w:t>.</w:t>
      </w:r>
    </w:p>
    <w:p w14:paraId="3EB20130" w14:textId="187D538C" w:rsidR="001D12B7" w:rsidRPr="001D12B7" w:rsidRDefault="001D12B7" w:rsidP="00783298">
      <w:pPr>
        <w:pStyle w:val="QIDANParagraph"/>
        <w:numPr>
          <w:ilvl w:val="0"/>
          <w:numId w:val="12"/>
        </w:numPr>
        <w:ind w:left="426" w:hanging="426"/>
      </w:pPr>
      <w:r w:rsidRPr="00A83B86">
        <w:rPr>
          <w:b/>
          <w:bCs/>
        </w:rPr>
        <w:t xml:space="preserve">Reverse the </w:t>
      </w:r>
      <w:r w:rsidR="00790F4B" w:rsidRPr="00A83B86">
        <w:rPr>
          <w:b/>
          <w:bCs/>
        </w:rPr>
        <w:t>burden</w:t>
      </w:r>
      <w:r w:rsidRPr="00A83B86">
        <w:rPr>
          <w:b/>
          <w:bCs/>
        </w:rPr>
        <w:t xml:space="preserve"> of proof in the DDA</w:t>
      </w:r>
      <w:r w:rsidR="00A83B86">
        <w:t xml:space="preserve">. This means </w:t>
      </w:r>
      <w:r w:rsidRPr="001D12B7">
        <w:t xml:space="preserve">the </w:t>
      </w:r>
      <w:r>
        <w:t>person with disability</w:t>
      </w:r>
      <w:r w:rsidRPr="001D12B7">
        <w:t xml:space="preserve"> must demonstrate the attribute and area and the respondent </w:t>
      </w:r>
      <w:r w:rsidR="00B21FF0">
        <w:t xml:space="preserve">or duty holder </w:t>
      </w:r>
      <w:r w:rsidRPr="001D12B7">
        <w:t xml:space="preserve">must demonstrate that the </w:t>
      </w:r>
      <w:r w:rsidR="00B21FF0">
        <w:t>un</w:t>
      </w:r>
      <w:r w:rsidRPr="001D12B7">
        <w:t xml:space="preserve">favourable treatment </w:t>
      </w:r>
      <w:r w:rsidRPr="00B82287">
        <w:t xml:space="preserve">was not </w:t>
      </w:r>
      <w:r w:rsidR="00B21FF0" w:rsidRPr="00B82287">
        <w:t>because of the person’s disability and / or another protected attribute</w:t>
      </w:r>
      <w:r w:rsidR="003C5C81" w:rsidRPr="00B82287">
        <w:t>, as in the DRC recommendation 4.23.</w:t>
      </w:r>
    </w:p>
    <w:p w14:paraId="2ED71CB5" w14:textId="3C93F4E8" w:rsidR="00C67CC6" w:rsidRDefault="00C67CC6" w:rsidP="00783298">
      <w:pPr>
        <w:pStyle w:val="QIDANParagraph"/>
        <w:numPr>
          <w:ilvl w:val="0"/>
          <w:numId w:val="12"/>
        </w:numPr>
        <w:ind w:left="426" w:hanging="426"/>
      </w:pPr>
      <w:r w:rsidRPr="008A6E43">
        <w:rPr>
          <w:b/>
          <w:bCs/>
        </w:rPr>
        <w:t>Introduce an enforceable positive duty to eliminate disability discrimination</w:t>
      </w:r>
      <w:r w:rsidRPr="00F95A05">
        <w:t>.</w:t>
      </w:r>
      <w:r w:rsidRPr="00F95A05">
        <w:rPr>
          <w:b/>
          <w:bCs/>
        </w:rPr>
        <w:t xml:space="preserve"> </w:t>
      </w:r>
      <w:r w:rsidRPr="00F95A05">
        <w:t>The duty should have broad application to all duty holders under the DDA</w:t>
      </w:r>
      <w:r>
        <w:t>, as per DRC recommendation 4.27. E</w:t>
      </w:r>
      <w:r w:rsidRPr="00546D8E">
        <w:t>xceptions or limits to the application of a positive duty</w:t>
      </w:r>
      <w:r>
        <w:t xml:space="preserve"> should only be applicable </w:t>
      </w:r>
      <w:r w:rsidRPr="00546D8E">
        <w:t>to the extent necessary to ensure proportionality and fairness, and care must be taken to ensure they cannot undermine the purpose of the duty</w:t>
      </w:r>
      <w:r>
        <w:t>.</w:t>
      </w:r>
    </w:p>
    <w:p w14:paraId="33FC6007" w14:textId="45D64431" w:rsidR="00BE2B5C" w:rsidRPr="00C67CC6" w:rsidRDefault="00BE2B5C" w:rsidP="00783298">
      <w:pPr>
        <w:pStyle w:val="QIDANParagraph"/>
        <w:numPr>
          <w:ilvl w:val="0"/>
          <w:numId w:val="12"/>
        </w:numPr>
        <w:ind w:left="426" w:hanging="426"/>
      </w:pPr>
      <w:r w:rsidRPr="00BE2B5C">
        <w:rPr>
          <w:b/>
          <w:bCs/>
        </w:rPr>
        <w:t>Adequately resource the AHRC</w:t>
      </w:r>
      <w:r>
        <w:t xml:space="preserve"> to effectively enforce the positive duty by educating entities, promoting awareness, conducting investigations and monitoring compliance</w:t>
      </w:r>
    </w:p>
    <w:p w14:paraId="72332476" w14:textId="77777777" w:rsidR="00C8133C" w:rsidRDefault="00C8133C" w:rsidP="00C8133C">
      <w:pPr>
        <w:pStyle w:val="QIDANParagraph"/>
        <w:numPr>
          <w:ilvl w:val="0"/>
          <w:numId w:val="12"/>
        </w:numPr>
        <w:ind w:left="426" w:hanging="426"/>
      </w:pPr>
      <w:r w:rsidRPr="008A6E43">
        <w:rPr>
          <w:b/>
          <w:bCs/>
        </w:rPr>
        <w:t>Cre</w:t>
      </w:r>
      <w:r>
        <w:rPr>
          <w:b/>
          <w:bCs/>
        </w:rPr>
        <w:t>a</w:t>
      </w:r>
      <w:r w:rsidRPr="008A6E43">
        <w:rPr>
          <w:b/>
          <w:bCs/>
        </w:rPr>
        <w:t xml:space="preserve">te a clear, standalone duty to </w:t>
      </w:r>
      <w:proofErr w:type="gramStart"/>
      <w:r w:rsidRPr="008A6E43">
        <w:rPr>
          <w:b/>
          <w:bCs/>
        </w:rPr>
        <w:t>make adjustments</w:t>
      </w:r>
      <w:proofErr w:type="gramEnd"/>
      <w:r w:rsidRPr="008E525D">
        <w:t xml:space="preserve">. The DDA should include a practical, timely obligation to identify and implement adjustments. Reforms should require transparent decision-making and consultation about adjustments with written reasons for refusals, especially in education, employment and essential services. </w:t>
      </w:r>
    </w:p>
    <w:p w14:paraId="3307F5D7" w14:textId="504090FF" w:rsidR="00FE414A" w:rsidRDefault="00FE414A" w:rsidP="00C8133C">
      <w:pPr>
        <w:pStyle w:val="QIDANParagraph"/>
        <w:numPr>
          <w:ilvl w:val="0"/>
          <w:numId w:val="12"/>
        </w:numPr>
        <w:ind w:left="426" w:hanging="426"/>
      </w:pPr>
      <w:r w:rsidRPr="00281E09">
        <w:rPr>
          <w:b/>
          <w:bCs/>
        </w:rPr>
        <w:lastRenderedPageBreak/>
        <w:t xml:space="preserve">Update the definition of </w:t>
      </w:r>
      <w:r w:rsidR="00281E09" w:rsidRPr="00281E09">
        <w:rPr>
          <w:b/>
          <w:bCs/>
        </w:rPr>
        <w:t>unjustifiable</w:t>
      </w:r>
      <w:r w:rsidRPr="00281E09">
        <w:rPr>
          <w:b/>
          <w:bCs/>
        </w:rPr>
        <w:t xml:space="preserve"> hardship</w:t>
      </w:r>
      <w:r>
        <w:t>, as per</w:t>
      </w:r>
      <w:r w:rsidR="00281E09">
        <w:t xml:space="preserve"> the DRC </w:t>
      </w:r>
      <w:r w:rsidR="00612C7F">
        <w:t>r</w:t>
      </w:r>
      <w:r w:rsidR="00281E09">
        <w:t xml:space="preserve">ecommendation 4.32 as it </w:t>
      </w:r>
      <w:r>
        <w:t>considers the equal dignity and worth of people with disability as members of the community. It also invites the duty holder to consider and keep a record of the relevant circumstances considered when the adjustments were requested</w:t>
      </w:r>
      <w:r w:rsidR="00281E09">
        <w:t>.</w:t>
      </w:r>
    </w:p>
    <w:p w14:paraId="794441B5" w14:textId="10DA81FC" w:rsidR="00D745AA" w:rsidRDefault="00062C93" w:rsidP="00783298">
      <w:pPr>
        <w:pStyle w:val="QIDANParagraph"/>
        <w:numPr>
          <w:ilvl w:val="0"/>
          <w:numId w:val="12"/>
        </w:numPr>
        <w:ind w:left="426" w:hanging="426"/>
      </w:pPr>
      <w:r w:rsidRPr="00C90A71">
        <w:rPr>
          <w:b/>
          <w:bCs/>
        </w:rPr>
        <w:t xml:space="preserve">Clarify the </w:t>
      </w:r>
      <w:r w:rsidR="00C90A71" w:rsidRPr="00C90A71">
        <w:rPr>
          <w:b/>
          <w:bCs/>
        </w:rPr>
        <w:t>inherent requirements of a role so people with disability are not discriminated against when applying for a job</w:t>
      </w:r>
      <w:r w:rsidR="00C90A71">
        <w:t xml:space="preserve">. </w:t>
      </w:r>
      <w:r w:rsidR="001A33D4">
        <w:t>Amend</w:t>
      </w:r>
      <w:r w:rsidR="00D745AA">
        <w:t xml:space="preserve"> section 21A of the DDA</w:t>
      </w:r>
      <w:r w:rsidR="00AC67AA">
        <w:t>, as per</w:t>
      </w:r>
      <w:r w:rsidR="001A33D4">
        <w:t xml:space="preserve"> DRC recommendation 7.26</w:t>
      </w:r>
      <w:r w:rsidR="00D745AA">
        <w:t xml:space="preserve">, </w:t>
      </w:r>
      <w:r w:rsidR="00A0342B">
        <w:t>to include the nature and extent of any adjustments made and extent of consultation with any person with disability concerned</w:t>
      </w:r>
      <w:r w:rsidR="00DF2ED5">
        <w:t xml:space="preserve">, as relevant factors of </w:t>
      </w:r>
      <w:r w:rsidR="00D745AA">
        <w:t xml:space="preserve">inherent requirements of a particular </w:t>
      </w:r>
      <w:r w:rsidR="00D85BD1">
        <w:t xml:space="preserve">employment </w:t>
      </w:r>
      <w:r w:rsidR="00D745AA">
        <w:t>role.</w:t>
      </w:r>
    </w:p>
    <w:p w14:paraId="40192598" w14:textId="1E223922" w:rsidR="00C51BDB" w:rsidRPr="00C51BDB" w:rsidRDefault="00C51BDB" w:rsidP="00783298">
      <w:pPr>
        <w:pStyle w:val="QIDANParagraph"/>
        <w:numPr>
          <w:ilvl w:val="0"/>
          <w:numId w:val="12"/>
        </w:numPr>
        <w:ind w:left="426" w:hanging="426"/>
      </w:pPr>
      <w:r w:rsidRPr="00C90A71">
        <w:rPr>
          <w:b/>
          <w:bCs/>
        </w:rPr>
        <w:t>Protect the right to learn</w:t>
      </w:r>
      <w:r w:rsidR="00E5710B">
        <w:t xml:space="preserve">, as per DRC recommendation 7.2, </w:t>
      </w:r>
      <w:r w:rsidR="003C0389">
        <w:t>as follows:</w:t>
      </w:r>
    </w:p>
    <w:p w14:paraId="1FC3FF7A" w14:textId="5F96745E" w:rsidR="00C51BDB" w:rsidRPr="00C51BDB" w:rsidRDefault="00D246A9" w:rsidP="00783298">
      <w:pPr>
        <w:pStyle w:val="QIDANParagraph"/>
        <w:numPr>
          <w:ilvl w:val="1"/>
          <w:numId w:val="12"/>
        </w:numPr>
        <w:ind w:left="851" w:hanging="426"/>
      </w:pPr>
      <w:r>
        <w:t xml:space="preserve">Amend section </w:t>
      </w:r>
      <w:r w:rsidR="00C51BDB" w:rsidRPr="00C51BDB">
        <w:t xml:space="preserve">22(2)(b) </w:t>
      </w:r>
      <w:r>
        <w:t>of the DDA</w:t>
      </w:r>
      <w:r w:rsidR="00C51BDB" w:rsidRPr="00C51BDB">
        <w:t xml:space="preserve"> to cover ‘suspension and exclusion’ as well as expulsions.  </w:t>
      </w:r>
    </w:p>
    <w:p w14:paraId="3D2CBB32" w14:textId="0460348E" w:rsidR="00C51BDB" w:rsidRPr="00C51BDB" w:rsidRDefault="00C51BDB" w:rsidP="00783298">
      <w:pPr>
        <w:pStyle w:val="QIDANParagraph"/>
        <w:numPr>
          <w:ilvl w:val="1"/>
          <w:numId w:val="12"/>
        </w:numPr>
        <w:ind w:left="851" w:hanging="426"/>
      </w:pPr>
      <w:r w:rsidRPr="00C51BDB">
        <w:t xml:space="preserve">The </w:t>
      </w:r>
      <w:r w:rsidR="008141EC">
        <w:t>DDA</w:t>
      </w:r>
      <w:r w:rsidRPr="00C51BDB">
        <w:t xml:space="preserve"> and associated Disability Standards for Education should be amended to require education authorities to avoid the use of exclusionary discipline on students with disability unless exclusion is necessary as a last resort to avert the risk of serious harm to the student, other students or staff.  </w:t>
      </w:r>
    </w:p>
    <w:p w14:paraId="39B90A37" w14:textId="6FF1C5B9" w:rsidR="00783298" w:rsidRDefault="001A2DF2" w:rsidP="00783298">
      <w:pPr>
        <w:pStyle w:val="QIDANParagraph"/>
        <w:numPr>
          <w:ilvl w:val="0"/>
          <w:numId w:val="12"/>
        </w:numPr>
        <w:ind w:left="426" w:hanging="426"/>
      </w:pPr>
      <w:r w:rsidRPr="00842C1E">
        <w:rPr>
          <w:b/>
          <w:bCs/>
        </w:rPr>
        <w:t>Include a standalone prohibition o</w:t>
      </w:r>
      <w:r w:rsidR="00842C1E">
        <w:rPr>
          <w:b/>
          <w:bCs/>
        </w:rPr>
        <w:t>f</w:t>
      </w:r>
      <w:r w:rsidRPr="00842C1E">
        <w:rPr>
          <w:b/>
          <w:bCs/>
        </w:rPr>
        <w:t xml:space="preserve"> offensive behaviour in the DDA</w:t>
      </w:r>
      <w:r w:rsidRPr="00480917">
        <w:t xml:space="preserve">, </w:t>
      </w:r>
      <w:proofErr w:type="gramStart"/>
      <w:r>
        <w:t>similar to</w:t>
      </w:r>
      <w:proofErr w:type="gramEnd"/>
      <w:r w:rsidRPr="00480917">
        <w:t xml:space="preserve"> section 18</w:t>
      </w:r>
      <w:r w:rsidR="0089537A">
        <w:t>D</w:t>
      </w:r>
      <w:r w:rsidRPr="00480917">
        <w:t xml:space="preserve"> of the </w:t>
      </w:r>
      <w:r w:rsidRPr="000F4A88">
        <w:rPr>
          <w:i/>
          <w:iCs/>
        </w:rPr>
        <w:t>Racial Discrimination Act</w:t>
      </w:r>
      <w:r w:rsidRPr="00480917">
        <w:t xml:space="preserve">. </w:t>
      </w:r>
      <w:r>
        <w:t>We support the inclusion of exemptions to be modelled off section 18C of the Racial Discrimination Act</w:t>
      </w:r>
      <w:r w:rsidR="00C967CD">
        <w:t>, as in recommendation 4.29 of the DRC.</w:t>
      </w:r>
    </w:p>
    <w:p w14:paraId="3EE10C4C" w14:textId="77C83F97" w:rsidR="009F4584" w:rsidRPr="00E3745D" w:rsidRDefault="00374FA9" w:rsidP="308FB332">
      <w:pPr>
        <w:pStyle w:val="QIDANParagraph"/>
        <w:numPr>
          <w:ilvl w:val="0"/>
          <w:numId w:val="12"/>
        </w:numPr>
        <w:ind w:left="426" w:hanging="426"/>
      </w:pPr>
      <w:r w:rsidRPr="00EB5FE4">
        <w:rPr>
          <w:b/>
          <w:bCs/>
          <w:lang w:val="en-US"/>
        </w:rPr>
        <w:t>Amend the DDA to protect people with a disability from vilification</w:t>
      </w:r>
      <w:r>
        <w:rPr>
          <w:lang w:val="en-US"/>
        </w:rPr>
        <w:t xml:space="preserve">, as </w:t>
      </w:r>
      <w:r w:rsidR="00EB5FE4">
        <w:rPr>
          <w:lang w:val="en-US"/>
        </w:rPr>
        <w:t xml:space="preserve">in recommendation </w:t>
      </w:r>
      <w:r w:rsidR="00EB5FE4" w:rsidRPr="009D2CF5">
        <w:rPr>
          <w:lang w:val="en-US"/>
        </w:rPr>
        <w:t xml:space="preserve">4.30 </w:t>
      </w:r>
      <w:r w:rsidR="00EB5FE4">
        <w:rPr>
          <w:lang w:val="en-US"/>
        </w:rPr>
        <w:t>of the DRC.</w:t>
      </w:r>
    </w:p>
    <w:p w14:paraId="6DBFD5D2" w14:textId="37C1AFF5" w:rsidR="00E3745D" w:rsidRPr="008E0805" w:rsidRDefault="00232DE0" w:rsidP="308FB332">
      <w:pPr>
        <w:pStyle w:val="QIDANParagraph"/>
        <w:numPr>
          <w:ilvl w:val="0"/>
          <w:numId w:val="12"/>
        </w:numPr>
        <w:ind w:left="426" w:hanging="426"/>
      </w:pPr>
      <w:r w:rsidRPr="3740CC40">
        <w:rPr>
          <w:b/>
          <w:bCs/>
          <w:lang w:val="en-US"/>
        </w:rPr>
        <w:t xml:space="preserve">Amend the DDA to ensure all people with </w:t>
      </w:r>
      <w:proofErr w:type="gramStart"/>
      <w:r w:rsidRPr="3740CC40">
        <w:rPr>
          <w:b/>
          <w:bCs/>
          <w:lang w:val="en-US"/>
        </w:rPr>
        <w:t>disability</w:t>
      </w:r>
      <w:proofErr w:type="gramEnd"/>
      <w:r w:rsidRPr="3740CC40">
        <w:rPr>
          <w:b/>
          <w:bCs/>
          <w:lang w:val="en-US"/>
        </w:rPr>
        <w:t xml:space="preserve"> are protected from unlawful </w:t>
      </w:r>
      <w:r w:rsidR="00C61D2A" w:rsidRPr="3740CC40">
        <w:rPr>
          <w:b/>
          <w:bCs/>
          <w:lang w:val="en-US"/>
        </w:rPr>
        <w:t xml:space="preserve">discrimination, regardless of the nature of their engagement with </w:t>
      </w:r>
      <w:r w:rsidR="0ED019B0" w:rsidRPr="3740CC40">
        <w:rPr>
          <w:b/>
          <w:bCs/>
          <w:lang w:val="en-US"/>
        </w:rPr>
        <w:t>government including</w:t>
      </w:r>
      <w:r w:rsidR="5E35E11F" w:rsidRPr="3740CC40">
        <w:rPr>
          <w:b/>
          <w:bCs/>
          <w:lang w:val="en-US"/>
        </w:rPr>
        <w:t xml:space="preserve"> but not limited to</w:t>
      </w:r>
      <w:r w:rsidR="0ED019B0" w:rsidRPr="3740CC40">
        <w:rPr>
          <w:b/>
          <w:bCs/>
          <w:lang w:val="en-US"/>
        </w:rPr>
        <w:t xml:space="preserve"> </w:t>
      </w:r>
      <w:r w:rsidR="00C61D2A" w:rsidRPr="3740CC40">
        <w:rPr>
          <w:b/>
          <w:bCs/>
          <w:lang w:val="en-US"/>
        </w:rPr>
        <w:t>police</w:t>
      </w:r>
      <w:r w:rsidR="233EC4E3" w:rsidRPr="3740CC40">
        <w:rPr>
          <w:b/>
          <w:bCs/>
          <w:lang w:val="en-US"/>
        </w:rPr>
        <w:t>, prisons and child safety</w:t>
      </w:r>
      <w:r w:rsidR="00C61D2A" w:rsidRPr="3740CC40">
        <w:rPr>
          <w:lang w:val="en-US"/>
        </w:rPr>
        <w:t xml:space="preserve">. </w:t>
      </w:r>
      <w:r w:rsidR="00E3745D" w:rsidRPr="3740CC40">
        <w:rPr>
          <w:lang w:val="en-US"/>
        </w:rPr>
        <w:t>QIDAN fully endorses recommendation 8.19</w:t>
      </w:r>
      <w:r w:rsidR="00852815" w:rsidRPr="3740CC40">
        <w:rPr>
          <w:lang w:val="en-US"/>
        </w:rPr>
        <w:t>, with general exemptions around unjustifiable hardship applicable, where appropriate.</w:t>
      </w:r>
    </w:p>
    <w:p w14:paraId="054EB524" w14:textId="5456097B" w:rsidR="003355F5" w:rsidRDefault="00132BDD" w:rsidP="308FB332">
      <w:pPr>
        <w:pStyle w:val="QIDANParagraph"/>
        <w:numPr>
          <w:ilvl w:val="0"/>
          <w:numId w:val="12"/>
        </w:numPr>
        <w:ind w:left="426" w:hanging="426"/>
      </w:pPr>
      <w:r>
        <w:rPr>
          <w:b/>
          <w:bCs/>
        </w:rPr>
        <w:t xml:space="preserve">No more excuses to discriminate. </w:t>
      </w:r>
      <w:r w:rsidR="00ED27BD" w:rsidRPr="00FD68D0">
        <w:rPr>
          <w:b/>
          <w:bCs/>
        </w:rPr>
        <w:t>Upda</w:t>
      </w:r>
      <w:r w:rsidR="00FD68D0" w:rsidRPr="00FD68D0">
        <w:rPr>
          <w:b/>
          <w:bCs/>
        </w:rPr>
        <w:t>te the DDA exemptions</w:t>
      </w:r>
      <w:r w:rsidR="00FD68D0">
        <w:t xml:space="preserve"> as follows:</w:t>
      </w:r>
    </w:p>
    <w:p w14:paraId="519B3FB4" w14:textId="77DFA7FD" w:rsidR="00FD68D0" w:rsidRDefault="00717A3B" w:rsidP="00C5719F">
      <w:pPr>
        <w:pStyle w:val="QIDANParagraph"/>
        <w:numPr>
          <w:ilvl w:val="1"/>
          <w:numId w:val="12"/>
        </w:numPr>
        <w:ind w:left="851" w:hanging="425"/>
      </w:pPr>
      <w:r>
        <w:lastRenderedPageBreak/>
        <w:t>Remove s</w:t>
      </w:r>
      <w:r w:rsidR="00132BDD">
        <w:t>ection 46 of the DDA</w:t>
      </w:r>
      <w:r w:rsidR="00C5719F">
        <w:t>, instead</w:t>
      </w:r>
      <w:r w:rsidR="00132BDD">
        <w:t xml:space="preserve"> </w:t>
      </w:r>
      <w:r w:rsidR="00FD68D0">
        <w:t xml:space="preserve">insurance and superannuation companies </w:t>
      </w:r>
      <w:r w:rsidR="7B6DF349">
        <w:t>should</w:t>
      </w:r>
      <w:r w:rsidR="00FD68D0">
        <w:t xml:space="preserve"> apply for a temporary exemption and demonstrate the basis for their application, such as under the current section 55 of the DDA</w:t>
      </w:r>
      <w:r w:rsidR="00C5719F">
        <w:t>.</w:t>
      </w:r>
    </w:p>
    <w:p w14:paraId="4C217F9F" w14:textId="40552491" w:rsidR="009B5129" w:rsidRDefault="3E46DCE9" w:rsidP="009B5129">
      <w:pPr>
        <w:pStyle w:val="QIDANParagraph"/>
        <w:numPr>
          <w:ilvl w:val="1"/>
          <w:numId w:val="12"/>
        </w:numPr>
        <w:ind w:left="851" w:hanging="425"/>
      </w:pPr>
      <w:r>
        <w:t>All e</w:t>
      </w:r>
      <w:r w:rsidR="009B5129">
        <w:t xml:space="preserve">xemptions should be regularly reviewed (every 5 years or so) to ensure they reflect community standards and appropriately balance individual’s and community’s rights.   </w:t>
      </w:r>
    </w:p>
    <w:p w14:paraId="5CE48BB9" w14:textId="397FB2DE" w:rsidR="00E87395" w:rsidRDefault="00E87395" w:rsidP="009B5129">
      <w:pPr>
        <w:pStyle w:val="QIDANParagraph"/>
        <w:numPr>
          <w:ilvl w:val="1"/>
          <w:numId w:val="12"/>
        </w:numPr>
        <w:ind w:left="851" w:hanging="425"/>
      </w:pPr>
      <w:r w:rsidRPr="043B0421">
        <w:rPr>
          <w:lang w:val="en-GB"/>
        </w:rPr>
        <w:t>Section 52 of the DDA</w:t>
      </w:r>
      <w:r>
        <w:t xml:space="preserve"> </w:t>
      </w:r>
      <w:r w:rsidRPr="043B0421">
        <w:rPr>
          <w:lang w:val="en-GB"/>
        </w:rPr>
        <w:t>should be amended such that the extent of lawful discrimination</w:t>
      </w:r>
      <w:r w:rsidR="00C01B91" w:rsidRPr="043B0421">
        <w:rPr>
          <w:lang w:val="en-GB"/>
        </w:rPr>
        <w:t xml:space="preserve"> against migrants with disability</w:t>
      </w:r>
      <w:r w:rsidRPr="043B0421">
        <w:rPr>
          <w:lang w:val="en-GB"/>
        </w:rPr>
        <w:t xml:space="preserve"> is narrowed while still balancing the policy consideration of protecting public health</w:t>
      </w:r>
      <w:r w:rsidR="156008FE" w:rsidRPr="043B0421">
        <w:rPr>
          <w:lang w:val="en-GB"/>
        </w:rPr>
        <w:t>.</w:t>
      </w:r>
    </w:p>
    <w:p w14:paraId="29FCC3E9" w14:textId="59816A07" w:rsidR="00C5719F" w:rsidRDefault="009B5129" w:rsidP="009B5129">
      <w:pPr>
        <w:pStyle w:val="QIDANParagraph"/>
        <w:numPr>
          <w:ilvl w:val="1"/>
          <w:numId w:val="12"/>
        </w:numPr>
        <w:ind w:left="851" w:hanging="425"/>
      </w:pPr>
      <w:r>
        <w:t>The Australian Human Rights Commission should be given the power to grant special measures certificates. And special measures should be defined in consultation with people with disability.</w:t>
      </w:r>
      <w:r w:rsidR="007127B4">
        <w:t xml:space="preserve"> We recommend the reference to “special needs” is removed from section 45 of the DDA.</w:t>
      </w:r>
    </w:p>
    <w:p w14:paraId="4B689ABE" w14:textId="681C786D" w:rsidR="00C5719F" w:rsidRDefault="00C5719F" w:rsidP="00C5719F">
      <w:pPr>
        <w:pStyle w:val="QIDANParagraph"/>
        <w:numPr>
          <w:ilvl w:val="0"/>
          <w:numId w:val="12"/>
        </w:numPr>
        <w:ind w:left="426" w:hanging="426"/>
      </w:pPr>
      <w:r w:rsidRPr="003355F5">
        <w:rPr>
          <w:b/>
          <w:bCs/>
        </w:rPr>
        <w:t>Create</w:t>
      </w:r>
      <w:r w:rsidRPr="00DE3D6D">
        <w:rPr>
          <w:b/>
          <w:bCs/>
        </w:rPr>
        <w:t xml:space="preserve"> a pass </w:t>
      </w:r>
      <w:proofErr w:type="gramStart"/>
      <w:r w:rsidRPr="00DE3D6D">
        <w:rPr>
          <w:b/>
          <w:bCs/>
        </w:rPr>
        <w:t>similar to</w:t>
      </w:r>
      <w:proofErr w:type="gramEnd"/>
      <w:r w:rsidRPr="00DE3D6D">
        <w:rPr>
          <w:b/>
          <w:bCs/>
        </w:rPr>
        <w:t xml:space="preserve"> the Queensland </w:t>
      </w:r>
      <w:proofErr w:type="spellStart"/>
      <w:r w:rsidRPr="00DE3D6D">
        <w:rPr>
          <w:b/>
          <w:bCs/>
        </w:rPr>
        <w:t>Translink</w:t>
      </w:r>
      <w:proofErr w:type="spellEnd"/>
      <w:r w:rsidRPr="00DE3D6D">
        <w:rPr>
          <w:b/>
          <w:bCs/>
        </w:rPr>
        <w:t xml:space="preserve"> Assistance Animal Pass but which applies to all community settings</w:t>
      </w:r>
      <w:r w:rsidRPr="00DE3D6D">
        <w:t xml:space="preserve">, not just Brisbane City Council transport services as the </w:t>
      </w:r>
      <w:proofErr w:type="spellStart"/>
      <w:r w:rsidRPr="00DE3D6D">
        <w:t>Translink</w:t>
      </w:r>
      <w:proofErr w:type="spellEnd"/>
      <w:r w:rsidRPr="00DE3D6D">
        <w:t xml:space="preserve"> Assistance Animal Pass </w:t>
      </w:r>
      <w:proofErr w:type="gramStart"/>
      <w:r w:rsidRPr="00DE3D6D">
        <w:t>is</w:t>
      </w:r>
      <w:proofErr w:type="gramEnd"/>
      <w:r w:rsidRPr="00DE3D6D">
        <w:t xml:space="preserve"> currently limited to.</w:t>
      </w:r>
      <w:r>
        <w:t xml:space="preserve"> This will assist in narrowing the DDA exemption under section 54A.</w:t>
      </w:r>
    </w:p>
    <w:p w14:paraId="5403F208" w14:textId="1367E19D" w:rsidR="00664F1D" w:rsidRPr="00664F1D" w:rsidRDefault="00864724" w:rsidP="00C5719F">
      <w:pPr>
        <w:pStyle w:val="QIDANParagraph"/>
        <w:numPr>
          <w:ilvl w:val="0"/>
          <w:numId w:val="12"/>
        </w:numPr>
        <w:ind w:left="426" w:hanging="426"/>
      </w:pPr>
      <w:r w:rsidRPr="00292A86">
        <w:rPr>
          <w:b/>
          <w:bCs/>
        </w:rPr>
        <w:t>Encourage the use of disability action</w:t>
      </w:r>
      <w:r w:rsidR="00664F1D" w:rsidRPr="00292A86">
        <w:rPr>
          <w:b/>
          <w:bCs/>
        </w:rPr>
        <w:t xml:space="preserve"> plans</w:t>
      </w:r>
      <w:r w:rsidR="00292A86">
        <w:t xml:space="preserve"> as another practical way of ensuring compliance with a positive duty to eliminate discrimination.</w:t>
      </w:r>
    </w:p>
    <w:p w14:paraId="2E6E180C" w14:textId="62904716" w:rsidR="00113D5B" w:rsidRDefault="007A562E" w:rsidP="00C5719F">
      <w:pPr>
        <w:pStyle w:val="QIDANParagraph"/>
        <w:numPr>
          <w:ilvl w:val="0"/>
          <w:numId w:val="12"/>
        </w:numPr>
        <w:ind w:left="426" w:hanging="426"/>
      </w:pPr>
      <w:r w:rsidRPr="00EA369E">
        <w:rPr>
          <w:b/>
          <w:bCs/>
        </w:rPr>
        <w:t xml:space="preserve">Ensure </w:t>
      </w:r>
      <w:r w:rsidR="000D4DB2" w:rsidRPr="00EA369E">
        <w:rPr>
          <w:b/>
          <w:bCs/>
        </w:rPr>
        <w:t>enforcement of Disability Standards are strengthened through t</w:t>
      </w:r>
      <w:r w:rsidR="00113D5B" w:rsidRPr="00EA369E">
        <w:rPr>
          <w:b/>
          <w:bCs/>
        </w:rPr>
        <w:t>he introduction of a positive</w:t>
      </w:r>
      <w:r w:rsidR="00EA369E" w:rsidRPr="00EA369E">
        <w:rPr>
          <w:b/>
          <w:bCs/>
        </w:rPr>
        <w:t xml:space="preserve"> duty</w:t>
      </w:r>
      <w:r w:rsidR="00EA369E">
        <w:t>. P</w:t>
      </w:r>
      <w:r w:rsidR="00113D5B">
        <w:t>rovide the AHRC with additional powers to enforce such compliance, including through guidance in preparation of disability action plans</w:t>
      </w:r>
      <w:r w:rsidR="00EA369E">
        <w:t>.</w:t>
      </w:r>
    </w:p>
    <w:p w14:paraId="100D587B" w14:textId="67BECB1A" w:rsidR="00664F1D" w:rsidRDefault="00664F1D" w:rsidP="00C5719F">
      <w:pPr>
        <w:pStyle w:val="QIDANParagraph"/>
        <w:numPr>
          <w:ilvl w:val="0"/>
          <w:numId w:val="12"/>
        </w:numPr>
        <w:ind w:left="426" w:hanging="426"/>
      </w:pPr>
      <w:r>
        <w:rPr>
          <w:b/>
          <w:bCs/>
        </w:rPr>
        <w:t>Create a Federal Human Rights Act</w:t>
      </w:r>
      <w:r w:rsidR="007C256D">
        <w:t xml:space="preserve"> </w:t>
      </w:r>
      <w:r w:rsidR="007C256D" w:rsidRPr="007C256D">
        <w:rPr>
          <w:lang w:val="en-GB"/>
        </w:rPr>
        <w:t>to provide for a more complete and streamlined equality framework that safeguards and promotes fundamental human rights, including for people with disability</w:t>
      </w:r>
      <w:r w:rsidR="007C256D">
        <w:rPr>
          <w:lang w:val="en-GB"/>
        </w:rPr>
        <w:t>.</w:t>
      </w:r>
    </w:p>
    <w:p w14:paraId="45EE1206" w14:textId="77777777" w:rsidR="000604A8" w:rsidRDefault="000604A8" w:rsidP="000604A8"/>
    <w:p w14:paraId="13D66713" w14:textId="77777777" w:rsidR="000604A8" w:rsidRDefault="000604A8" w:rsidP="000604A8"/>
    <w:p w14:paraId="05CEA52E" w14:textId="77777777" w:rsidR="00CE522F" w:rsidRDefault="00CE522F" w:rsidP="000604A8"/>
    <w:p w14:paraId="11492557" w14:textId="77777777" w:rsidR="00CE522F" w:rsidRDefault="00CE522F" w:rsidP="000604A8"/>
    <w:p w14:paraId="37896948" w14:textId="77777777" w:rsidR="005104C1" w:rsidRDefault="005104C1" w:rsidP="000604A8"/>
    <w:p w14:paraId="355D8FDB" w14:textId="5E9544B6" w:rsidR="008D70DF" w:rsidRDefault="003D504F" w:rsidP="308FB332">
      <w:pPr>
        <w:pStyle w:val="Heading1"/>
        <w:rPr>
          <w:rFonts w:ascii="Nunito Sans" w:hAnsi="Nunito Sans" w:cs="Poppins SemiBold"/>
          <w:b/>
          <w:bCs/>
          <w:color w:val="690048"/>
          <w:sz w:val="28"/>
          <w:szCs w:val="28"/>
        </w:rPr>
      </w:pPr>
      <w:bookmarkStart w:id="4" w:name="_Toc212816946"/>
      <w:r>
        <w:rPr>
          <w:rFonts w:ascii="Nunito Sans" w:hAnsi="Nunito Sans" w:cs="Poppins SemiBold"/>
          <w:b/>
          <w:bCs/>
          <w:color w:val="690048"/>
          <w:sz w:val="28"/>
          <w:szCs w:val="28"/>
        </w:rPr>
        <w:lastRenderedPageBreak/>
        <w:t>Celebr</w:t>
      </w:r>
      <w:r w:rsidR="00F97BF9">
        <w:rPr>
          <w:rFonts w:ascii="Nunito Sans" w:hAnsi="Nunito Sans" w:cs="Poppins SemiBold"/>
          <w:b/>
          <w:bCs/>
          <w:color w:val="690048"/>
          <w:sz w:val="28"/>
          <w:szCs w:val="28"/>
        </w:rPr>
        <w:t>ate people with disability and protect them from discrimination</w:t>
      </w:r>
      <w:bookmarkEnd w:id="4"/>
    </w:p>
    <w:p w14:paraId="25241936" w14:textId="7B5E6025" w:rsidR="00823DB3" w:rsidRDefault="00823DB3" w:rsidP="002329E2">
      <w:pPr>
        <w:pStyle w:val="QIDANParagraph"/>
      </w:pPr>
      <w:r>
        <w:t>This section covers questions 1-11 of the Issues Paper.</w:t>
      </w:r>
    </w:p>
    <w:p w14:paraId="77925303" w14:textId="2D295163" w:rsidR="005D197B" w:rsidRDefault="00B864A2" w:rsidP="00823DB3">
      <w:pPr>
        <w:pStyle w:val="QIDANParagraph"/>
        <w:spacing w:after="240"/>
      </w:pPr>
      <w:r>
        <w:t xml:space="preserve">The work of QIDAN is grounded in the Convention </w:t>
      </w:r>
      <w:r w:rsidR="00444E0C">
        <w:t>on the Rights of Persons with Disabilities (</w:t>
      </w:r>
      <w:r w:rsidR="00444E0C" w:rsidRPr="00444E0C">
        <w:rPr>
          <w:b/>
          <w:bCs/>
        </w:rPr>
        <w:t>the CRPD</w:t>
      </w:r>
      <w:r w:rsidR="00444E0C">
        <w:t>)</w:t>
      </w:r>
      <w:r w:rsidR="003B1DE7">
        <w:t>. W</w:t>
      </w:r>
      <w:r w:rsidR="002D657A">
        <w:t xml:space="preserve">e consider there could be additional benefits to people with disability if the practice and wording of </w:t>
      </w:r>
      <w:r w:rsidR="00755B53">
        <w:t xml:space="preserve">the CRPD were </w:t>
      </w:r>
      <w:r w:rsidR="008E0124">
        <w:t xml:space="preserve">included in the objects provision of the DDA. </w:t>
      </w:r>
      <w:r w:rsidR="00D355B4">
        <w:t xml:space="preserve">This </w:t>
      </w:r>
      <w:r w:rsidR="00FC23B7">
        <w:t>will</w:t>
      </w:r>
      <w:r w:rsidR="002E3D6C">
        <w:t xml:space="preserve"> </w:t>
      </w:r>
      <w:r w:rsidR="004E2130">
        <w:t xml:space="preserve">ensure </w:t>
      </w:r>
      <w:r w:rsidR="00AA5290">
        <w:t>the interpretation of the DDA would be consistent with Australia’s obligations under the CRPD</w:t>
      </w:r>
      <w:r w:rsidR="001E1A61">
        <w:t xml:space="preserve">, which provides a </w:t>
      </w:r>
      <w:r w:rsidR="00490B9C">
        <w:t>strong and aspirational model for the protection and advancement of the rights of people with disability.</w:t>
      </w:r>
    </w:p>
    <w:p w14:paraId="067831EE" w14:textId="5FC38619" w:rsidR="00F06830" w:rsidRPr="00203ECB" w:rsidRDefault="00921615" w:rsidP="00D808BA">
      <w:pPr>
        <w:spacing w:line="360" w:lineRule="auto"/>
        <w:rPr>
          <w:rFonts w:ascii="Nunito Sans" w:hAnsi="Nunito Sans"/>
          <w:b/>
          <w:bCs/>
          <w:color w:val="690048"/>
        </w:rPr>
      </w:pPr>
      <w:r>
        <w:rPr>
          <w:rFonts w:ascii="Nunito Sans" w:hAnsi="Nunito Sans"/>
          <w:b/>
          <w:bCs/>
          <w:color w:val="690048"/>
        </w:rPr>
        <w:t>Support disability pride</w:t>
      </w:r>
    </w:p>
    <w:p w14:paraId="6E2EF636" w14:textId="77777777" w:rsidR="003D1CFA" w:rsidRDefault="003332BA" w:rsidP="003332BA">
      <w:pPr>
        <w:pStyle w:val="QIDANParagraph"/>
        <w:rPr>
          <w:lang w:val="en-GB"/>
        </w:rPr>
      </w:pPr>
      <w:r>
        <w:t xml:space="preserve">The CRPD creates a blueprint for a progressive social model of disability, defining </w:t>
      </w:r>
      <w:r w:rsidR="00881AAE">
        <w:t xml:space="preserve">discrimination </w:t>
      </w:r>
      <w:proofErr w:type="gramStart"/>
      <w:r w:rsidR="00881AAE">
        <w:t>on the basis of</w:t>
      </w:r>
      <w:proofErr w:type="gramEnd"/>
      <w:r w:rsidR="00881AAE">
        <w:t xml:space="preserve"> disability in terms of the interaction between a person’s impairment and their environment. </w:t>
      </w:r>
      <w:r w:rsidR="00851FBF">
        <w:t>There is an important distinction to be made between the terminology “impairment</w:t>
      </w:r>
      <w:r w:rsidR="00B30575">
        <w:t xml:space="preserve">” and “disability”. </w:t>
      </w:r>
      <w:r w:rsidR="00B30575" w:rsidRPr="00B30575">
        <w:rPr>
          <w:lang w:val="en-GB"/>
        </w:rPr>
        <w:t>Impairment attributes the focus of the limitations on the person and fails to acknowledge the importance of external barriers. In contrast, disability is used in the CRPD as an evolving concept, which recognises that disability results from the interaction between persons with impairments and attitudinal and environmental barriers that hinder their full and effective participation in society on an equal basis with others.</w:t>
      </w:r>
      <w:r w:rsidR="00B30575">
        <w:rPr>
          <w:rStyle w:val="FootnoteReference"/>
          <w:lang w:val="en-GB"/>
        </w:rPr>
        <w:footnoteReference w:id="5"/>
      </w:r>
      <w:r w:rsidR="000C65AC">
        <w:rPr>
          <w:lang w:val="en-GB"/>
        </w:rPr>
        <w:t xml:space="preserve"> </w:t>
      </w:r>
      <w:r w:rsidR="004E1D17">
        <w:rPr>
          <w:lang w:val="en-GB"/>
        </w:rPr>
        <w:t>People with disability enrich our society by bringing diversity to our communities</w:t>
      </w:r>
      <w:r w:rsidR="008A7CE0">
        <w:rPr>
          <w:lang w:val="en-GB"/>
        </w:rPr>
        <w:t xml:space="preserve">, however they become </w:t>
      </w:r>
      <w:r w:rsidR="00C05207">
        <w:rPr>
          <w:lang w:val="en-GB"/>
        </w:rPr>
        <w:t xml:space="preserve">disabled </w:t>
      </w:r>
      <w:r w:rsidR="00C6254C">
        <w:rPr>
          <w:lang w:val="en-GB"/>
        </w:rPr>
        <w:t>because society is not built for them</w:t>
      </w:r>
      <w:r w:rsidR="00C67F22">
        <w:rPr>
          <w:lang w:val="en-GB"/>
        </w:rPr>
        <w:t xml:space="preserve">. </w:t>
      </w:r>
    </w:p>
    <w:p w14:paraId="32F3C022" w14:textId="79F96A23" w:rsidR="00D869AE" w:rsidRDefault="000D6F87" w:rsidP="003332BA">
      <w:pPr>
        <w:pStyle w:val="QIDANParagraph"/>
        <w:rPr>
          <w:lang w:val="en-GB"/>
        </w:rPr>
      </w:pPr>
      <w:r>
        <w:rPr>
          <w:lang w:val="en-GB"/>
        </w:rPr>
        <w:t xml:space="preserve">The definition of disability must </w:t>
      </w:r>
      <w:r w:rsidR="00A72DB3">
        <w:rPr>
          <w:lang w:val="en-GB"/>
        </w:rPr>
        <w:t xml:space="preserve">use respectful and affirming language and </w:t>
      </w:r>
      <w:r>
        <w:rPr>
          <w:lang w:val="en-GB"/>
        </w:rPr>
        <w:t>reflect the rights of people with disability</w:t>
      </w:r>
      <w:r w:rsidR="005152CD">
        <w:rPr>
          <w:lang w:val="en-GB"/>
        </w:rPr>
        <w:t xml:space="preserve">. </w:t>
      </w:r>
      <w:r w:rsidR="003D1CFA">
        <w:rPr>
          <w:lang w:val="en-GB"/>
        </w:rPr>
        <w:t>W</w:t>
      </w:r>
      <w:r w:rsidR="00394F8F">
        <w:rPr>
          <w:lang w:val="en-GB"/>
        </w:rPr>
        <w:t>e recommend the r</w:t>
      </w:r>
      <w:r w:rsidR="0022481F" w:rsidRPr="0022481F">
        <w:rPr>
          <w:lang w:val="en-GB"/>
        </w:rPr>
        <w:t>emov</w:t>
      </w:r>
      <w:r w:rsidR="00394F8F">
        <w:rPr>
          <w:lang w:val="en-GB"/>
        </w:rPr>
        <w:t>al of</w:t>
      </w:r>
      <w:r w:rsidR="0022481F" w:rsidRPr="0022481F">
        <w:rPr>
          <w:lang w:val="en-GB"/>
        </w:rPr>
        <w:t xml:space="preserve"> references to outdated and inappropriate language such as 'malfunction', 'malformation' and 'disfigurement' (</w:t>
      </w:r>
      <w:r w:rsidR="00394F8F">
        <w:rPr>
          <w:lang w:val="en-GB"/>
        </w:rPr>
        <w:t>in</w:t>
      </w:r>
      <w:r w:rsidR="0022481F" w:rsidRPr="0022481F">
        <w:rPr>
          <w:lang w:val="en-GB"/>
        </w:rPr>
        <w:t xml:space="preserve"> paragraphs (e) and (f) of the definition). This inherently deficit-based language carries unnecessarily negative undertones, and may create feelings of exclusion and disempowerment, reinforce harmful stereotypes and erode trust. Instead, the definition </w:t>
      </w:r>
      <w:r w:rsidR="0022481F" w:rsidRPr="0022481F">
        <w:rPr>
          <w:lang w:val="en-GB"/>
        </w:rPr>
        <w:lastRenderedPageBreak/>
        <w:t xml:space="preserve">should use language that better reflects modern understandings of disability. For example, paragraph (f) should use the term 'condition' instead of 'malfunction'. </w:t>
      </w:r>
    </w:p>
    <w:p w14:paraId="55C071AD" w14:textId="77777777" w:rsidR="00C956F5" w:rsidRDefault="00195503" w:rsidP="003332BA">
      <w:pPr>
        <w:pStyle w:val="QIDANParagraph"/>
        <w:rPr>
          <w:lang w:val="en-GB"/>
        </w:rPr>
      </w:pPr>
      <w:r>
        <w:rPr>
          <w:lang w:val="en-GB"/>
        </w:rPr>
        <w:t>The definition must u</w:t>
      </w:r>
      <w:r w:rsidR="00D869AE" w:rsidRPr="00D869AE">
        <w:rPr>
          <w:lang w:val="en-GB"/>
        </w:rPr>
        <w:t xml:space="preserve">se language inclusive of people with neurodiversity. Neurodiversity is often considered a difference rather than a 'disorder'. As such, many neurodivergent individuals, such as those with autism or psychosocial disabilities, do not identify with the current deficit-based language in the definition of 'disability'. Further, the invisibility of many neurodivergent conditions often results in unique forms of discrimination. To uphold the intent of the </w:t>
      </w:r>
      <w:r w:rsidR="00D536F3">
        <w:rPr>
          <w:lang w:val="en-GB"/>
        </w:rPr>
        <w:t>DDA</w:t>
      </w:r>
      <w:r w:rsidR="00D869AE" w:rsidRPr="00D869AE">
        <w:rPr>
          <w:lang w:val="en-GB"/>
        </w:rPr>
        <w:t xml:space="preserve"> to provide protection against discrimination for all people with disabilities, the definition must be framed in a way that clearly encompasses neurodiverse experiences, ensuring these individuals are not inadvertently excluded from its protections.</w:t>
      </w:r>
    </w:p>
    <w:p w14:paraId="06BE9979" w14:textId="40BA5563" w:rsidR="006D7F64" w:rsidRDefault="009F1E98" w:rsidP="003332BA">
      <w:pPr>
        <w:pStyle w:val="QIDANParagraph"/>
        <w:rPr>
          <w:lang w:val="en-GB"/>
        </w:rPr>
      </w:pPr>
      <w:r>
        <w:rPr>
          <w:lang w:val="en-GB"/>
        </w:rPr>
        <w:t>T</w:t>
      </w:r>
      <w:r w:rsidR="00AA0B6F" w:rsidRPr="00AA0B6F">
        <w:rPr>
          <w:lang w:val="en-GB"/>
        </w:rPr>
        <w:t xml:space="preserve">he reference to 'bodily functions' in paragraph (a) </w:t>
      </w:r>
      <w:r>
        <w:rPr>
          <w:lang w:val="en-GB"/>
        </w:rPr>
        <w:t xml:space="preserve">should be amended </w:t>
      </w:r>
      <w:r w:rsidR="00AA0B6F" w:rsidRPr="00AA0B6F">
        <w:rPr>
          <w:lang w:val="en-GB"/>
        </w:rPr>
        <w:t>to 'body functions'. The term 'bodily functions' is often subconsciously inferred to only mean incontinence-related issues whereas the term 'body functions' is a more neutral and medically accurate term that better reflects the full range of physiological processes.</w:t>
      </w:r>
      <w:r w:rsidR="00AC4A91">
        <w:rPr>
          <w:lang w:val="en-GB"/>
        </w:rPr>
        <w:t xml:space="preserve"> </w:t>
      </w:r>
    </w:p>
    <w:p w14:paraId="0C01938B" w14:textId="57DB1286" w:rsidR="0072025B" w:rsidRDefault="0072025B" w:rsidP="003332BA">
      <w:pPr>
        <w:pStyle w:val="QIDANParagraph"/>
        <w:rPr>
          <w:lang w:val="en-GB"/>
        </w:rPr>
      </w:pPr>
      <w:r w:rsidRPr="0072025B">
        <w:rPr>
          <w:lang w:val="en-GB"/>
        </w:rPr>
        <w:t xml:space="preserve">QIDAN believes that protecting people experiencing addiction is a pressing and important issue, which justifies its inclusion in the </w:t>
      </w:r>
      <w:r w:rsidR="002B1684">
        <w:rPr>
          <w:lang w:val="en-GB"/>
        </w:rPr>
        <w:t>DDA</w:t>
      </w:r>
      <w:r w:rsidRPr="0072025B">
        <w:rPr>
          <w:lang w:val="en-GB"/>
        </w:rPr>
        <w:t xml:space="preserve">, rather than through other means (such as a legislative note). </w:t>
      </w:r>
      <w:r w:rsidR="107F5B4D" w:rsidRPr="29BB67C7">
        <w:rPr>
          <w:lang w:val="en-GB"/>
        </w:rPr>
        <w:t xml:space="preserve">It is our experience that </w:t>
      </w:r>
      <w:r w:rsidR="004E0F1A">
        <w:rPr>
          <w:lang w:val="en-GB"/>
        </w:rPr>
        <w:t xml:space="preserve">people with disability </w:t>
      </w:r>
      <w:r w:rsidR="2BB73100" w:rsidRPr="29BB67C7">
        <w:rPr>
          <w:lang w:val="en-GB"/>
        </w:rPr>
        <w:t xml:space="preserve">may </w:t>
      </w:r>
      <w:r w:rsidR="70788B12" w:rsidRPr="29BB67C7">
        <w:rPr>
          <w:lang w:val="en-GB"/>
        </w:rPr>
        <w:t xml:space="preserve">use </w:t>
      </w:r>
      <w:r w:rsidR="009D5DA9" w:rsidRPr="29BB67C7">
        <w:rPr>
          <w:lang w:val="en-GB"/>
        </w:rPr>
        <w:t>substance</w:t>
      </w:r>
      <w:r w:rsidR="52F3C12C" w:rsidRPr="29BB67C7">
        <w:rPr>
          <w:lang w:val="en-GB"/>
        </w:rPr>
        <w:t xml:space="preserve">s </w:t>
      </w:r>
      <w:r w:rsidR="009D5DA9">
        <w:rPr>
          <w:lang w:val="en-GB"/>
        </w:rPr>
        <w:t xml:space="preserve">to mask </w:t>
      </w:r>
      <w:r w:rsidR="004C214F">
        <w:rPr>
          <w:lang w:val="en-GB"/>
        </w:rPr>
        <w:t xml:space="preserve">or manage </w:t>
      </w:r>
      <w:r w:rsidR="009D5DA9">
        <w:rPr>
          <w:lang w:val="en-GB"/>
        </w:rPr>
        <w:t>other symptoms</w:t>
      </w:r>
      <w:r w:rsidR="00E34D29">
        <w:rPr>
          <w:lang w:val="en-GB"/>
        </w:rPr>
        <w:t xml:space="preserve"> that result from</w:t>
      </w:r>
      <w:r w:rsidR="009D5DA9">
        <w:rPr>
          <w:lang w:val="en-GB"/>
        </w:rPr>
        <w:t xml:space="preserve"> </w:t>
      </w:r>
      <w:r w:rsidR="004C214F">
        <w:rPr>
          <w:lang w:val="en-GB"/>
        </w:rPr>
        <w:t>severe depression or Post Traumatic Stress Disorder</w:t>
      </w:r>
      <w:r w:rsidR="00E34D29">
        <w:rPr>
          <w:lang w:val="en-GB"/>
        </w:rPr>
        <w:t xml:space="preserve"> for example</w:t>
      </w:r>
      <w:r w:rsidR="004C214F">
        <w:rPr>
          <w:lang w:val="en-GB"/>
        </w:rPr>
        <w:t xml:space="preserve">. </w:t>
      </w:r>
      <w:r w:rsidR="002B1684">
        <w:rPr>
          <w:lang w:val="en-GB"/>
        </w:rPr>
        <w:t>Including ‘addiction’ in the definition</w:t>
      </w:r>
      <w:r w:rsidRPr="0072025B">
        <w:rPr>
          <w:lang w:val="en-GB"/>
        </w:rPr>
        <w:t xml:space="preserve"> improves clarity of the legislation and facilitates </w:t>
      </w:r>
      <w:r w:rsidR="004E0F1A">
        <w:rPr>
          <w:lang w:val="en-GB"/>
        </w:rPr>
        <w:t>interpretation of</w:t>
      </w:r>
      <w:r w:rsidRPr="0072025B">
        <w:rPr>
          <w:lang w:val="en-GB"/>
        </w:rPr>
        <w:t xml:space="preserve"> the legislation.</w:t>
      </w:r>
    </w:p>
    <w:p w14:paraId="6AED2ACD" w14:textId="3F9435A7" w:rsidR="00A017C6" w:rsidRDefault="00A017C6" w:rsidP="00A017C6">
      <w:pPr>
        <w:pStyle w:val="QIDANParagraph"/>
        <w:rPr>
          <w:lang w:val="en-GB"/>
        </w:rPr>
      </w:pPr>
      <w:r w:rsidRPr="00A017C6">
        <w:rPr>
          <w:lang w:val="en-GB"/>
        </w:rPr>
        <w:t xml:space="preserve">The </w:t>
      </w:r>
      <w:r w:rsidRPr="00A017C6">
        <w:rPr>
          <w:i/>
          <w:iCs/>
          <w:lang w:val="en-GB"/>
        </w:rPr>
        <w:t>Disability Inclusion Act 2024</w:t>
      </w:r>
      <w:r w:rsidRPr="00A017C6">
        <w:rPr>
          <w:lang w:val="en-GB"/>
        </w:rPr>
        <w:t xml:space="preserve"> (ACT) contains a </w:t>
      </w:r>
      <w:r w:rsidR="003E19B6">
        <w:rPr>
          <w:lang w:val="en-GB"/>
        </w:rPr>
        <w:t>more moder</w:t>
      </w:r>
      <w:r w:rsidR="007606C4">
        <w:rPr>
          <w:lang w:val="en-GB"/>
        </w:rPr>
        <w:t>n</w:t>
      </w:r>
      <w:r w:rsidR="003E19B6">
        <w:rPr>
          <w:lang w:val="en-GB"/>
        </w:rPr>
        <w:t xml:space="preserve"> </w:t>
      </w:r>
      <w:r w:rsidRPr="00A017C6">
        <w:rPr>
          <w:lang w:val="en-GB"/>
        </w:rPr>
        <w:t xml:space="preserve">definition:  </w:t>
      </w:r>
    </w:p>
    <w:p w14:paraId="703B524D" w14:textId="55FEB25A" w:rsidR="00A017C6" w:rsidRDefault="00A017C6" w:rsidP="00111DD3">
      <w:pPr>
        <w:pStyle w:val="QIDANParagraph"/>
        <w:ind w:left="567"/>
        <w:rPr>
          <w:lang w:val="en-GB"/>
        </w:rPr>
      </w:pPr>
      <w:r w:rsidRPr="00A017C6">
        <w:rPr>
          <w:b/>
          <w:bCs/>
          <w:i/>
          <w:iCs/>
          <w:lang w:val="en-GB"/>
        </w:rPr>
        <w:t>Disability</w:t>
      </w:r>
      <w:r>
        <w:rPr>
          <w:lang w:val="en-GB"/>
        </w:rPr>
        <w:t xml:space="preserve"> – </w:t>
      </w:r>
    </w:p>
    <w:p w14:paraId="56A53238" w14:textId="49649D78" w:rsidR="00A017C6" w:rsidRPr="00A017C6" w:rsidRDefault="00A017C6" w:rsidP="00111DD3">
      <w:pPr>
        <w:pStyle w:val="QIDANParagraph"/>
        <w:ind w:left="567"/>
        <w:rPr>
          <w:lang w:val="en-GB"/>
        </w:rPr>
      </w:pPr>
      <w:r w:rsidRPr="00A017C6">
        <w:rPr>
          <w:lang w:val="en-GB"/>
        </w:rPr>
        <w:t>(a) means any impairment or functional limitation that, in interaction with a barrier to accessibility, hinders the full and equal participation of a person with disability in society; and</w:t>
      </w:r>
    </w:p>
    <w:p w14:paraId="1A846C02" w14:textId="77777777" w:rsidR="00A017C6" w:rsidRPr="00A017C6" w:rsidRDefault="00A017C6" w:rsidP="00111DD3">
      <w:pPr>
        <w:pStyle w:val="QIDANParagraph"/>
        <w:ind w:left="567"/>
        <w:rPr>
          <w:lang w:val="en-GB"/>
        </w:rPr>
      </w:pPr>
      <w:r w:rsidRPr="00A017C6">
        <w:rPr>
          <w:lang w:val="en-GB"/>
        </w:rPr>
        <w:t xml:space="preserve"> (b) includes an impairment or functional limitation—</w:t>
      </w:r>
    </w:p>
    <w:p w14:paraId="65303E26" w14:textId="2F533E95" w:rsidR="00A017C6" w:rsidRPr="00A017C6" w:rsidRDefault="00A017C6" w:rsidP="00111DD3">
      <w:pPr>
        <w:pStyle w:val="QIDANParagraph"/>
        <w:ind w:left="567"/>
        <w:rPr>
          <w:lang w:val="en-GB"/>
        </w:rPr>
      </w:pPr>
      <w:r w:rsidRPr="00A017C6">
        <w:rPr>
          <w:lang w:val="en-GB"/>
        </w:rPr>
        <w:t xml:space="preserve"> </w:t>
      </w:r>
      <w:r w:rsidR="0061645D">
        <w:rPr>
          <w:lang w:val="en-GB"/>
        </w:rPr>
        <w:tab/>
      </w:r>
      <w:r w:rsidR="0061645D">
        <w:rPr>
          <w:lang w:val="en-GB"/>
        </w:rPr>
        <w:tab/>
      </w:r>
      <w:r w:rsidRPr="00A017C6">
        <w:rPr>
          <w:lang w:val="en-GB"/>
        </w:rPr>
        <w:t>(</w:t>
      </w:r>
      <w:proofErr w:type="spellStart"/>
      <w:r w:rsidRPr="00A017C6">
        <w:rPr>
          <w:lang w:val="en-GB"/>
        </w:rPr>
        <w:t>i</w:t>
      </w:r>
      <w:proofErr w:type="spellEnd"/>
      <w:r w:rsidRPr="00A017C6">
        <w:rPr>
          <w:lang w:val="en-GB"/>
        </w:rPr>
        <w:t>) that is permanent, temporary or episodic in nature; and</w:t>
      </w:r>
    </w:p>
    <w:p w14:paraId="105D45B9" w14:textId="0D2B2C65" w:rsidR="00065374" w:rsidRDefault="00A017C6" w:rsidP="00111DD3">
      <w:pPr>
        <w:pStyle w:val="QIDANParagraph"/>
        <w:spacing w:after="240"/>
        <w:ind w:left="567"/>
        <w:rPr>
          <w:lang w:val="en-GB"/>
        </w:rPr>
      </w:pPr>
      <w:r w:rsidRPr="00A017C6">
        <w:rPr>
          <w:lang w:val="en-GB"/>
        </w:rPr>
        <w:t xml:space="preserve"> </w:t>
      </w:r>
      <w:r w:rsidR="0061645D">
        <w:rPr>
          <w:lang w:val="en-GB"/>
        </w:rPr>
        <w:tab/>
      </w:r>
      <w:r w:rsidR="0061645D">
        <w:rPr>
          <w:lang w:val="en-GB"/>
        </w:rPr>
        <w:tab/>
      </w:r>
      <w:r w:rsidRPr="00A017C6">
        <w:rPr>
          <w:lang w:val="en-GB"/>
        </w:rPr>
        <w:t>(ii) whether or not it can be noticed by others.</w:t>
      </w:r>
    </w:p>
    <w:p w14:paraId="7A911E7C" w14:textId="1333AB15" w:rsidR="00C106FA" w:rsidRDefault="00716F6C" w:rsidP="00D808BA">
      <w:pPr>
        <w:spacing w:line="360" w:lineRule="auto"/>
        <w:rPr>
          <w:rFonts w:ascii="Nunito Sans" w:hAnsi="Nunito Sans"/>
          <w:b/>
          <w:bCs/>
          <w:color w:val="690048"/>
        </w:rPr>
      </w:pPr>
      <w:r>
        <w:rPr>
          <w:rFonts w:ascii="Nunito Sans" w:hAnsi="Nunito Sans"/>
          <w:b/>
          <w:bCs/>
          <w:color w:val="690048"/>
        </w:rPr>
        <w:lastRenderedPageBreak/>
        <w:t>Support</w:t>
      </w:r>
      <w:r w:rsidR="00297B60">
        <w:rPr>
          <w:rFonts w:ascii="Nunito Sans" w:hAnsi="Nunito Sans"/>
          <w:b/>
          <w:bCs/>
          <w:color w:val="690048"/>
        </w:rPr>
        <w:t xml:space="preserve"> and </w:t>
      </w:r>
      <w:r>
        <w:rPr>
          <w:rFonts w:ascii="Nunito Sans" w:hAnsi="Nunito Sans"/>
          <w:b/>
          <w:bCs/>
          <w:color w:val="690048"/>
        </w:rPr>
        <w:t>protect</w:t>
      </w:r>
      <w:r w:rsidR="00297B60">
        <w:rPr>
          <w:rFonts w:ascii="Nunito Sans" w:hAnsi="Nunito Sans"/>
          <w:b/>
          <w:bCs/>
          <w:color w:val="690048"/>
        </w:rPr>
        <w:t xml:space="preserve"> i</w:t>
      </w:r>
      <w:r w:rsidR="00C106FA">
        <w:rPr>
          <w:rFonts w:ascii="Nunito Sans" w:hAnsi="Nunito Sans"/>
          <w:b/>
          <w:bCs/>
          <w:color w:val="690048"/>
        </w:rPr>
        <w:t>ntersectionality</w:t>
      </w:r>
      <w:r w:rsidR="00C908A8">
        <w:rPr>
          <w:rFonts w:ascii="Nunito Sans" w:hAnsi="Nunito Sans"/>
          <w:b/>
          <w:bCs/>
          <w:color w:val="690048"/>
        </w:rPr>
        <w:t xml:space="preserve"> </w:t>
      </w:r>
    </w:p>
    <w:p w14:paraId="54CBD702" w14:textId="2E89BC37" w:rsidR="006E0809" w:rsidRDefault="006E0809" w:rsidP="00823DB3">
      <w:pPr>
        <w:pStyle w:val="QIDANParagraph"/>
        <w:spacing w:after="240"/>
      </w:pPr>
      <w:r>
        <w:t>The CRPD recognises that people with disability have intersecting layers of identity, of which disability is one. Intersectionality can result in multiple and compounding forms of discrimination experienced by people with disability, leading to intersectional discrimination.</w:t>
      </w:r>
      <w:r>
        <w:rPr>
          <w:rStyle w:val="FootnoteReference"/>
        </w:rPr>
        <w:footnoteReference w:id="6"/>
      </w:r>
      <w:r>
        <w:t xml:space="preserve"> Allowing claims to be brought for multiple or combined protected attributes not only strengthens the DDA making it compliant with article 5 of the CRPD</w:t>
      </w:r>
      <w:r w:rsidR="113A0694">
        <w:t>,</w:t>
      </w:r>
      <w:r w:rsidR="001E22BB">
        <w:t xml:space="preserve"> </w:t>
      </w:r>
      <w:r w:rsidR="740795E5">
        <w:t>i</w:t>
      </w:r>
      <w:r>
        <w:t>t addresses the intersectional discrimination faced by people with disability, acknowledging they have been discriminated against because of their multiple identities. Doing otherwise fails to appreciate the nature and impact of intersectional discrimination.</w:t>
      </w:r>
    </w:p>
    <w:p w14:paraId="2255E962" w14:textId="33D89965" w:rsidR="00203ECB" w:rsidRDefault="00766319" w:rsidP="00D808BA">
      <w:pPr>
        <w:spacing w:line="360" w:lineRule="auto"/>
        <w:rPr>
          <w:rFonts w:ascii="Nunito Sans" w:hAnsi="Nunito Sans"/>
          <w:b/>
          <w:bCs/>
          <w:color w:val="690048"/>
        </w:rPr>
      </w:pPr>
      <w:r>
        <w:rPr>
          <w:rFonts w:ascii="Nunito Sans" w:hAnsi="Nunito Sans"/>
          <w:b/>
          <w:bCs/>
          <w:color w:val="690048"/>
        </w:rPr>
        <w:t>Simplify the direct</w:t>
      </w:r>
      <w:r w:rsidR="00036A83">
        <w:rPr>
          <w:rFonts w:ascii="Nunito Sans" w:hAnsi="Nunito Sans"/>
          <w:b/>
          <w:bCs/>
          <w:color w:val="690048"/>
        </w:rPr>
        <w:t xml:space="preserve"> and </w:t>
      </w:r>
      <w:r w:rsidR="00036A83" w:rsidRPr="00045A81">
        <w:rPr>
          <w:rFonts w:ascii="Nunito Sans" w:hAnsi="Nunito Sans"/>
          <w:b/>
          <w:bCs/>
          <w:color w:val="690048"/>
        </w:rPr>
        <w:t>indirect</w:t>
      </w:r>
      <w:r w:rsidR="00036A83">
        <w:rPr>
          <w:rFonts w:ascii="Nunito Sans" w:hAnsi="Nunito Sans"/>
          <w:b/>
          <w:bCs/>
          <w:color w:val="690048"/>
        </w:rPr>
        <w:t xml:space="preserve"> discrimination</w:t>
      </w:r>
      <w:r>
        <w:rPr>
          <w:rFonts w:ascii="Nunito Sans" w:hAnsi="Nunito Sans"/>
          <w:b/>
          <w:bCs/>
          <w:color w:val="690048"/>
        </w:rPr>
        <w:t xml:space="preserve"> tests</w:t>
      </w:r>
    </w:p>
    <w:p w14:paraId="480E714A" w14:textId="5FAC0D28" w:rsidR="00727178" w:rsidRDefault="003E1E61" w:rsidP="00416CD4">
      <w:pPr>
        <w:pStyle w:val="QIDANParagraph"/>
      </w:pPr>
      <w:r>
        <w:t>It is argued that allowing claims to be brought for multiple or combined protected attrib</w:t>
      </w:r>
      <w:r w:rsidR="00525121">
        <w:t xml:space="preserve">utes adds complexity </w:t>
      </w:r>
      <w:r w:rsidR="00C00551">
        <w:t xml:space="preserve">for claims of disability discrimination. However, it is our view that </w:t>
      </w:r>
      <w:r w:rsidR="00DA7025">
        <w:t xml:space="preserve">it is the use of the comparator test </w:t>
      </w:r>
      <w:r w:rsidR="00073576">
        <w:t xml:space="preserve">in direct discrimination </w:t>
      </w:r>
      <w:r w:rsidR="00DA7025">
        <w:t>that is particularly problematic</w:t>
      </w:r>
      <w:r w:rsidR="00073576">
        <w:t>, not the intersectional claims.</w:t>
      </w:r>
      <w:r w:rsidR="000259F6">
        <w:t xml:space="preserve"> That is because the comparator test focus on </w:t>
      </w:r>
      <w:r w:rsidR="00EF0E8A">
        <w:t xml:space="preserve">comparing with someone real or </w:t>
      </w:r>
      <w:r w:rsidR="007D6E20">
        <w:t>hypothetical</w:t>
      </w:r>
      <w:r w:rsidR="00EF0E8A">
        <w:t xml:space="preserve">, </w:t>
      </w:r>
      <w:r w:rsidR="006B2321">
        <w:t>instead of focusing on the harm on the affected person.</w:t>
      </w:r>
      <w:r w:rsidR="00784EF5">
        <w:t xml:space="preserve"> We agree with the DRC that the focus of the test should </w:t>
      </w:r>
      <w:r w:rsidR="00D07E03">
        <w:t>be on the unfavourable treatment o</w:t>
      </w:r>
      <w:r w:rsidR="00F37160">
        <w:t>r</w:t>
      </w:r>
      <w:r w:rsidR="00D07E03">
        <w:t xml:space="preserve"> detriment that the person with disability has faced</w:t>
      </w:r>
      <w:r w:rsidR="00E52D91">
        <w:t xml:space="preserve">, and that the </w:t>
      </w:r>
      <w:r w:rsidR="003D4A8C">
        <w:t xml:space="preserve">respondent should </w:t>
      </w:r>
      <w:r w:rsidR="00AF1D84">
        <w:t>be responsible for proving the reason for their treatment of the person with disability was not because of their disability</w:t>
      </w:r>
      <w:r w:rsidR="00820981">
        <w:t xml:space="preserve"> (as the current approach in the </w:t>
      </w:r>
      <w:r w:rsidR="00820981" w:rsidRPr="00957FD6">
        <w:rPr>
          <w:i/>
          <w:iCs/>
        </w:rPr>
        <w:t>Fair Work Act 2009</w:t>
      </w:r>
      <w:r w:rsidR="00957FD6">
        <w:t>)</w:t>
      </w:r>
      <w:r w:rsidR="00AF1D84">
        <w:t xml:space="preserve">. </w:t>
      </w:r>
      <w:r w:rsidR="007048B3">
        <w:t xml:space="preserve">Therefore, we support the DRC recommendation 4.23 </w:t>
      </w:r>
      <w:r w:rsidR="000259F6">
        <w:t>to remove the comparator requirement from the DDA</w:t>
      </w:r>
      <w:r w:rsidR="00AF1D84">
        <w:t xml:space="preserve"> and to</w:t>
      </w:r>
      <w:r w:rsidR="00FB49A3">
        <w:t xml:space="preserve"> shift the burden of proof to the respondent</w:t>
      </w:r>
      <w:r w:rsidR="00EB0812">
        <w:t xml:space="preserve"> or duty holder</w:t>
      </w:r>
      <w:r w:rsidR="000259F6">
        <w:t xml:space="preserve">. </w:t>
      </w:r>
    </w:p>
    <w:p w14:paraId="595AC76F" w14:textId="4DF778E1" w:rsidR="009F48E4" w:rsidRDefault="0048080A" w:rsidP="00416CD4">
      <w:pPr>
        <w:pStyle w:val="QIDANParagraph"/>
        <w:rPr>
          <w:lang w:val="en-GB"/>
        </w:rPr>
      </w:pPr>
      <w:r>
        <w:t xml:space="preserve">When it comes to the definition of indirect discrimination, it is QIDAN’s views that </w:t>
      </w:r>
      <w:r w:rsidR="00680114">
        <w:t>the reasonableness element should be removed</w:t>
      </w:r>
      <w:r w:rsidR="00A162DC">
        <w:t xml:space="preserve">, as it would make the test more objective and less subjective with what appears to be implicit excuses and defences </w:t>
      </w:r>
      <w:r w:rsidR="00AC17C9">
        <w:t>for discriminatory actions.</w:t>
      </w:r>
      <w:r w:rsidR="0023267E">
        <w:t xml:space="preserve"> The term ‘reasonable’ </w:t>
      </w:r>
      <w:r w:rsidR="00D541AA">
        <w:t>has gained more importance than the existence or non-</w:t>
      </w:r>
      <w:r w:rsidR="00D541AA">
        <w:lastRenderedPageBreak/>
        <w:t>existence of adjustments, which is the focus of avoiding discrimination</w:t>
      </w:r>
      <w:r w:rsidR="00B55CFA">
        <w:t xml:space="preserve"> </w:t>
      </w:r>
      <w:r w:rsidR="00185C06">
        <w:t>that</w:t>
      </w:r>
      <w:r w:rsidR="00B55CFA">
        <w:t xml:space="preserve"> needs flexibility and time to be implemented.</w:t>
      </w:r>
      <w:r w:rsidR="00392B06">
        <w:t xml:space="preserve"> </w:t>
      </w:r>
      <w:r w:rsidR="00275F22">
        <w:t xml:space="preserve">The DRC proposed a much simpler way to address </w:t>
      </w:r>
      <w:r w:rsidR="00E64731">
        <w:t xml:space="preserve">what has become a </w:t>
      </w:r>
      <w:r w:rsidR="000D11D2">
        <w:t>set of complex layers</w:t>
      </w:r>
      <w:r w:rsidR="00275F22">
        <w:t>:</w:t>
      </w:r>
      <w:r w:rsidR="00B47F65">
        <w:t xml:space="preserve"> </w:t>
      </w:r>
      <w:r w:rsidR="00102304">
        <w:t>adjustment should be made, unless an unjust</w:t>
      </w:r>
      <w:r w:rsidR="008473CD">
        <w:t xml:space="preserve">ifiable hardship </w:t>
      </w:r>
      <w:r w:rsidR="00F06087" w:rsidRPr="00F06087">
        <w:rPr>
          <w:lang w:val="en-GB"/>
        </w:rPr>
        <w:t>would</w:t>
      </w:r>
      <w:r w:rsidR="00D406EE">
        <w:rPr>
          <w:lang w:val="en-GB"/>
        </w:rPr>
        <w:t xml:space="preserve"> be</w:t>
      </w:r>
      <w:r w:rsidR="00F06087" w:rsidRPr="00F06087">
        <w:rPr>
          <w:lang w:val="en-GB"/>
        </w:rPr>
        <w:t xml:space="preserve"> impose</w:t>
      </w:r>
      <w:r w:rsidR="00D406EE">
        <w:rPr>
          <w:lang w:val="en-GB"/>
        </w:rPr>
        <w:t>d</w:t>
      </w:r>
      <w:r w:rsidR="00F06087" w:rsidRPr="00F06087">
        <w:rPr>
          <w:lang w:val="en-GB"/>
        </w:rPr>
        <w:t xml:space="preserve"> on the respondent</w:t>
      </w:r>
      <w:r w:rsidR="00E64731">
        <w:rPr>
          <w:lang w:val="en-GB"/>
        </w:rPr>
        <w:t xml:space="preserve">. </w:t>
      </w:r>
      <w:r w:rsidR="63CEB3FB" w:rsidRPr="29BB67C7">
        <w:rPr>
          <w:lang w:val="en-GB"/>
        </w:rPr>
        <w:t>T</w:t>
      </w:r>
      <w:r w:rsidR="0496F35C" w:rsidRPr="29BB67C7">
        <w:rPr>
          <w:lang w:val="en-GB"/>
        </w:rPr>
        <w:t>he</w:t>
      </w:r>
      <w:r w:rsidR="000D11D2">
        <w:rPr>
          <w:lang w:val="en-GB"/>
        </w:rPr>
        <w:t xml:space="preserve"> next focus is on the definition of unjustifiable hardship.</w:t>
      </w:r>
      <w:r w:rsidR="00C92146">
        <w:rPr>
          <w:lang w:val="en-GB"/>
        </w:rPr>
        <w:t xml:space="preserve"> But for the purposes of indirect discrimination, </w:t>
      </w:r>
      <w:r w:rsidR="000D0D8F">
        <w:rPr>
          <w:lang w:val="en-GB"/>
        </w:rPr>
        <w:t>‘reasonable adjustments’ should be replaced by ‘adjustments’</w:t>
      </w:r>
      <w:r w:rsidR="00CB7552">
        <w:rPr>
          <w:lang w:val="en-GB"/>
        </w:rPr>
        <w:t>, not only as an element of indirect discrimination but throughout the DDA.</w:t>
      </w:r>
      <w:r w:rsidR="00523264">
        <w:rPr>
          <w:lang w:val="en-GB"/>
        </w:rPr>
        <w:t xml:space="preserve"> </w:t>
      </w:r>
    </w:p>
    <w:p w14:paraId="5829C39B" w14:textId="140DD6B5" w:rsidR="00B56546" w:rsidRDefault="00B56546" w:rsidP="00416CD4">
      <w:pPr>
        <w:pStyle w:val="QIDANParagraph"/>
        <w:rPr>
          <w:lang w:val="en-GB"/>
        </w:rPr>
      </w:pPr>
      <w:r>
        <w:rPr>
          <w:lang w:val="en-GB"/>
        </w:rPr>
        <w:t xml:space="preserve">Moreover, </w:t>
      </w:r>
      <w:r w:rsidR="003E51E5">
        <w:rPr>
          <w:lang w:val="en-GB"/>
        </w:rPr>
        <w:t xml:space="preserve">we agree with the AHRC and the QHRC that </w:t>
      </w:r>
      <w:r>
        <w:rPr>
          <w:lang w:val="en-GB"/>
        </w:rPr>
        <w:t>the language of ‘</w:t>
      </w:r>
      <w:r w:rsidR="001E2FFA">
        <w:rPr>
          <w:lang w:val="en-GB"/>
        </w:rPr>
        <w:t xml:space="preserve">does not or would not </w:t>
      </w:r>
      <w:r w:rsidR="00350CAD">
        <w:rPr>
          <w:lang w:val="en-GB"/>
        </w:rPr>
        <w:t>comply or</w:t>
      </w:r>
      <w:r w:rsidR="001E2FFA">
        <w:rPr>
          <w:lang w:val="en-GB"/>
        </w:rPr>
        <w:t xml:space="preserve"> is not able or would not be able to comply’</w:t>
      </w:r>
      <w:r w:rsidR="00EA1517">
        <w:rPr>
          <w:lang w:val="en-GB"/>
        </w:rPr>
        <w:t xml:space="preserve"> in </w:t>
      </w:r>
      <w:r w:rsidR="00C142FE">
        <w:rPr>
          <w:lang w:val="en-GB"/>
        </w:rPr>
        <w:t>section 6(1)(b)</w:t>
      </w:r>
      <w:r w:rsidR="001E2FFA">
        <w:rPr>
          <w:lang w:val="en-GB"/>
        </w:rPr>
        <w:t xml:space="preserve"> </w:t>
      </w:r>
      <w:r w:rsidR="00812277">
        <w:rPr>
          <w:lang w:val="en-GB"/>
        </w:rPr>
        <w:t>is not necessary as the reference to “disadvantage people with disability”</w:t>
      </w:r>
      <w:r w:rsidR="000C3D2E">
        <w:rPr>
          <w:lang w:val="en-GB"/>
        </w:rPr>
        <w:t xml:space="preserve"> in (c)</w:t>
      </w:r>
      <w:r w:rsidR="00812277">
        <w:rPr>
          <w:lang w:val="en-GB"/>
        </w:rPr>
        <w:t xml:space="preserve"> is </w:t>
      </w:r>
      <w:r w:rsidR="00B064FC">
        <w:rPr>
          <w:lang w:val="en-GB"/>
        </w:rPr>
        <w:t>sufficient to capture inability to comply with a condition, requirement or practice.</w:t>
      </w:r>
      <w:r w:rsidR="00802FB9">
        <w:rPr>
          <w:rStyle w:val="FootnoteReference"/>
          <w:lang w:val="en-GB"/>
        </w:rPr>
        <w:footnoteReference w:id="7"/>
      </w:r>
      <w:r w:rsidR="00B064FC">
        <w:rPr>
          <w:lang w:val="en-GB"/>
        </w:rPr>
        <w:t xml:space="preserve"> </w:t>
      </w:r>
      <w:r w:rsidR="00FC3C09">
        <w:rPr>
          <w:lang w:val="en-GB"/>
        </w:rPr>
        <w:t xml:space="preserve">This would also remove unnecessary complexities and </w:t>
      </w:r>
      <w:r w:rsidR="00704A14">
        <w:rPr>
          <w:lang w:val="en-GB"/>
        </w:rPr>
        <w:t>provide for a clear and more straightforward concept for people to navigate.</w:t>
      </w:r>
    </w:p>
    <w:p w14:paraId="4A1221AF" w14:textId="5C254D91" w:rsidR="001035EC" w:rsidRDefault="00CC2FCD" w:rsidP="00416CD4">
      <w:pPr>
        <w:pStyle w:val="QIDANParagraph"/>
        <w:rPr>
          <w:b/>
          <w:bCs/>
          <w:lang w:val="en-GB"/>
        </w:rPr>
      </w:pPr>
      <w:r w:rsidRPr="00CC2FCD">
        <w:rPr>
          <w:b/>
          <w:bCs/>
          <w:lang w:val="en-GB"/>
        </w:rPr>
        <w:t xml:space="preserve">Table: </w:t>
      </w:r>
      <w:r w:rsidR="001035EC" w:rsidRPr="00CC2FCD">
        <w:rPr>
          <w:b/>
          <w:bCs/>
          <w:lang w:val="en-GB"/>
        </w:rPr>
        <w:t>Proposed changes to direct and indirect discrimination tests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BE0E3"/>
        <w:tblLook w:val="04A0" w:firstRow="1" w:lastRow="0" w:firstColumn="1" w:lastColumn="0" w:noHBand="0" w:noVBand="1"/>
      </w:tblPr>
      <w:tblGrid>
        <w:gridCol w:w="2258"/>
        <w:gridCol w:w="3686"/>
        <w:gridCol w:w="3783"/>
      </w:tblGrid>
      <w:tr w:rsidR="00045A81" w14:paraId="0F4C805B" w14:textId="77777777" w:rsidTr="00FE403B">
        <w:trPr>
          <w:trHeight w:val="838"/>
        </w:trPr>
        <w:tc>
          <w:tcPr>
            <w:tcW w:w="2258" w:type="dxa"/>
            <w:shd w:val="clear" w:color="auto" w:fill="FBE0E3"/>
            <w:vAlign w:val="center"/>
          </w:tcPr>
          <w:p w14:paraId="1E4D3404" w14:textId="77777777" w:rsidR="00045A81" w:rsidRDefault="00045A81" w:rsidP="00FC4FBF">
            <w:pPr>
              <w:pStyle w:val="QIDANParagraph"/>
              <w:spacing w:after="120" w:line="240" w:lineRule="auto"/>
              <w:rPr>
                <w:b/>
                <w:bCs/>
                <w:lang w:val="en-GB"/>
              </w:rPr>
            </w:pPr>
          </w:p>
        </w:tc>
        <w:tc>
          <w:tcPr>
            <w:tcW w:w="3686" w:type="dxa"/>
            <w:shd w:val="clear" w:color="auto" w:fill="FBE0E3"/>
            <w:vAlign w:val="center"/>
          </w:tcPr>
          <w:p w14:paraId="12D13341" w14:textId="29022F7A" w:rsidR="00045A81" w:rsidRDefault="00045A81" w:rsidP="00FC4FBF">
            <w:pPr>
              <w:pStyle w:val="QIDANParagraph"/>
              <w:spacing w:after="120" w:line="240" w:lineRule="auto"/>
              <w:rPr>
                <w:b/>
                <w:bCs/>
                <w:lang w:val="en-GB"/>
              </w:rPr>
            </w:pPr>
            <w:r>
              <w:rPr>
                <w:b/>
                <w:bCs/>
                <w:lang w:val="en-GB"/>
              </w:rPr>
              <w:t>Current definition</w:t>
            </w:r>
          </w:p>
        </w:tc>
        <w:tc>
          <w:tcPr>
            <w:tcW w:w="3783" w:type="dxa"/>
            <w:shd w:val="clear" w:color="auto" w:fill="FBE0E3"/>
            <w:vAlign w:val="center"/>
          </w:tcPr>
          <w:p w14:paraId="7EA8081F" w14:textId="5D476637" w:rsidR="00045A81" w:rsidRDefault="00045A81" w:rsidP="00FC4FBF">
            <w:pPr>
              <w:pStyle w:val="QIDANParagraph"/>
              <w:spacing w:after="120" w:line="240" w:lineRule="auto"/>
              <w:rPr>
                <w:b/>
                <w:bCs/>
                <w:lang w:val="en-GB"/>
              </w:rPr>
            </w:pPr>
            <w:r w:rsidRPr="00045A81">
              <w:rPr>
                <w:b/>
                <w:bCs/>
                <w:color w:val="690048"/>
                <w:lang w:val="en-GB"/>
              </w:rPr>
              <w:t>QIDAN proposed reform</w:t>
            </w:r>
          </w:p>
        </w:tc>
      </w:tr>
      <w:tr w:rsidR="00045A81" w14:paraId="752B7446" w14:textId="77777777" w:rsidTr="00FE403B">
        <w:trPr>
          <w:trHeight w:val="1042"/>
        </w:trPr>
        <w:tc>
          <w:tcPr>
            <w:tcW w:w="2258" w:type="dxa"/>
            <w:shd w:val="clear" w:color="auto" w:fill="FBE0E3"/>
            <w:vAlign w:val="center"/>
          </w:tcPr>
          <w:p w14:paraId="04E4D68A" w14:textId="0E0DF0A3" w:rsidR="00045A81" w:rsidRDefault="00045A81" w:rsidP="00FC4FBF">
            <w:pPr>
              <w:pStyle w:val="QIDANParagraph"/>
              <w:spacing w:after="120" w:line="240" w:lineRule="auto"/>
              <w:rPr>
                <w:b/>
                <w:bCs/>
                <w:lang w:val="en-GB"/>
              </w:rPr>
            </w:pPr>
            <w:r>
              <w:rPr>
                <w:b/>
                <w:bCs/>
                <w:lang w:val="en-GB"/>
              </w:rPr>
              <w:t>Elements of direct discrimination</w:t>
            </w:r>
          </w:p>
        </w:tc>
        <w:tc>
          <w:tcPr>
            <w:tcW w:w="3686" w:type="dxa"/>
            <w:shd w:val="clear" w:color="auto" w:fill="FBE0E3"/>
            <w:vAlign w:val="center"/>
          </w:tcPr>
          <w:p w14:paraId="7A5D858F" w14:textId="77777777" w:rsidR="00045A81" w:rsidRPr="00045A81" w:rsidRDefault="00045A81" w:rsidP="00FC4FBF">
            <w:pPr>
              <w:pStyle w:val="QIDANParagraph"/>
              <w:numPr>
                <w:ilvl w:val="0"/>
                <w:numId w:val="20"/>
              </w:numPr>
              <w:spacing w:after="120" w:line="240" w:lineRule="auto"/>
              <w:ind w:left="316" w:hanging="316"/>
            </w:pPr>
            <w:r w:rsidRPr="00045A81">
              <w:t>Less favourable treatment (comparator)</w:t>
            </w:r>
          </w:p>
          <w:p w14:paraId="5A071771" w14:textId="35833D87" w:rsidR="00045A81" w:rsidRDefault="00FC4FBF" w:rsidP="00FC4FBF">
            <w:pPr>
              <w:pStyle w:val="QIDANParagraph"/>
              <w:numPr>
                <w:ilvl w:val="0"/>
                <w:numId w:val="20"/>
              </w:numPr>
              <w:spacing w:after="120" w:line="240" w:lineRule="auto"/>
              <w:ind w:left="316" w:hanging="316"/>
              <w:rPr>
                <w:b/>
                <w:bCs/>
                <w:lang w:val="en-GB"/>
              </w:rPr>
            </w:pPr>
            <w:r>
              <w:t>C</w:t>
            </w:r>
            <w:r w:rsidR="00045A81" w:rsidRPr="00045A81">
              <w:t>ausation</w:t>
            </w:r>
          </w:p>
        </w:tc>
        <w:tc>
          <w:tcPr>
            <w:tcW w:w="3783" w:type="dxa"/>
            <w:shd w:val="clear" w:color="auto" w:fill="FBE0E3"/>
            <w:vAlign w:val="center"/>
          </w:tcPr>
          <w:p w14:paraId="73228BA7" w14:textId="4A627FF4" w:rsidR="00045A81" w:rsidRPr="00F12847" w:rsidRDefault="00045A81" w:rsidP="00FC4FBF">
            <w:pPr>
              <w:pStyle w:val="QIDANParagraph"/>
              <w:numPr>
                <w:ilvl w:val="0"/>
                <w:numId w:val="24"/>
              </w:numPr>
              <w:spacing w:after="120" w:line="240" w:lineRule="auto"/>
              <w:ind w:left="484"/>
            </w:pPr>
            <w:r w:rsidRPr="00F12847">
              <w:t xml:space="preserve">Unfavourable treatment </w:t>
            </w:r>
            <w:r w:rsidR="00FC4FBF">
              <w:br/>
            </w:r>
            <w:r w:rsidRPr="00F12847">
              <w:t>(NO comparator)</w:t>
            </w:r>
          </w:p>
          <w:p w14:paraId="5D1B2370" w14:textId="7FB0A005" w:rsidR="00C95475" w:rsidRPr="00FC4FBF" w:rsidRDefault="00C95475" w:rsidP="00FC4FBF">
            <w:pPr>
              <w:pStyle w:val="QIDANParagraph"/>
              <w:numPr>
                <w:ilvl w:val="0"/>
                <w:numId w:val="24"/>
              </w:numPr>
              <w:spacing w:after="120" w:line="240" w:lineRule="auto"/>
              <w:ind w:left="484"/>
              <w:rPr>
                <w:b/>
                <w:bCs/>
                <w:lang w:val="en-GB"/>
              </w:rPr>
            </w:pPr>
            <w:r w:rsidRPr="00F12847">
              <w:t>C</w:t>
            </w:r>
            <w:r w:rsidR="00045A81" w:rsidRPr="00F12847">
              <w:t>ausation</w:t>
            </w:r>
          </w:p>
        </w:tc>
      </w:tr>
      <w:tr w:rsidR="00045A81" w14:paraId="02B0778A" w14:textId="77777777" w:rsidTr="00FE403B">
        <w:tc>
          <w:tcPr>
            <w:tcW w:w="2258" w:type="dxa"/>
            <w:shd w:val="clear" w:color="auto" w:fill="FBE0E3"/>
            <w:vAlign w:val="center"/>
          </w:tcPr>
          <w:p w14:paraId="1F18938C" w14:textId="399A60B6" w:rsidR="00045A81" w:rsidRDefault="00045A81" w:rsidP="00FC4FBF">
            <w:pPr>
              <w:pStyle w:val="QIDANParagraph"/>
              <w:spacing w:after="120" w:line="240" w:lineRule="auto"/>
              <w:rPr>
                <w:b/>
                <w:bCs/>
                <w:lang w:val="en-GB"/>
              </w:rPr>
            </w:pPr>
            <w:r>
              <w:rPr>
                <w:b/>
                <w:bCs/>
                <w:lang w:val="en-GB"/>
              </w:rPr>
              <w:t>Burden of proof</w:t>
            </w:r>
          </w:p>
        </w:tc>
        <w:tc>
          <w:tcPr>
            <w:tcW w:w="3686" w:type="dxa"/>
            <w:shd w:val="clear" w:color="auto" w:fill="FBE0E3"/>
            <w:vAlign w:val="center"/>
          </w:tcPr>
          <w:p w14:paraId="4C149B9F" w14:textId="35F7D0BC" w:rsidR="00045A81" w:rsidRPr="00F12847" w:rsidRDefault="00045A81" w:rsidP="00FC4FBF">
            <w:pPr>
              <w:pStyle w:val="QIDANParagraph"/>
              <w:numPr>
                <w:ilvl w:val="0"/>
                <w:numId w:val="20"/>
              </w:numPr>
              <w:tabs>
                <w:tab w:val="left" w:pos="316"/>
              </w:tabs>
              <w:spacing w:after="120" w:line="240" w:lineRule="auto"/>
              <w:ind w:left="265" w:hanging="265"/>
              <w:rPr>
                <w:kern w:val="0"/>
                <w:lang w:eastAsia="en-AU"/>
              </w:rPr>
            </w:pPr>
            <w:r w:rsidRPr="00F12847">
              <w:rPr>
                <w:kern w:val="0"/>
                <w:lang w:eastAsia="en-AU"/>
              </w:rPr>
              <w:t>The applicant must show facts and circumstances of the detriment they suffered.</w:t>
            </w:r>
          </w:p>
          <w:p w14:paraId="4DA31374" w14:textId="77777777" w:rsidR="00045A81" w:rsidRPr="00F12847" w:rsidRDefault="00045A81" w:rsidP="00FC4FBF">
            <w:pPr>
              <w:pStyle w:val="QIDANParagraph"/>
              <w:numPr>
                <w:ilvl w:val="0"/>
                <w:numId w:val="20"/>
              </w:numPr>
              <w:tabs>
                <w:tab w:val="left" w:pos="316"/>
              </w:tabs>
              <w:spacing w:after="120" w:line="240" w:lineRule="auto"/>
              <w:ind w:left="265" w:hanging="265"/>
              <w:rPr>
                <w:kern w:val="0"/>
                <w:lang w:eastAsia="en-AU"/>
              </w:rPr>
            </w:pPr>
            <w:r w:rsidRPr="00F12847">
              <w:rPr>
                <w:kern w:val="0"/>
                <w:lang w:eastAsia="en-AU"/>
              </w:rPr>
              <w:t>The applicant must show that they are a person with disability.</w:t>
            </w:r>
          </w:p>
          <w:p w14:paraId="0CE12DEA" w14:textId="042E2A2D" w:rsidR="00045A81" w:rsidRDefault="00045A81" w:rsidP="00FC4FBF">
            <w:pPr>
              <w:pStyle w:val="QIDANParagraph"/>
              <w:numPr>
                <w:ilvl w:val="0"/>
                <w:numId w:val="20"/>
              </w:numPr>
              <w:tabs>
                <w:tab w:val="left" w:pos="316"/>
              </w:tabs>
              <w:spacing w:after="120" w:line="240" w:lineRule="auto"/>
              <w:ind w:left="265" w:hanging="265"/>
              <w:rPr>
                <w:b/>
                <w:bCs/>
                <w:lang w:val="en-GB"/>
              </w:rPr>
            </w:pPr>
            <w:r w:rsidRPr="00F12847">
              <w:rPr>
                <w:kern w:val="0"/>
                <w:lang w:eastAsia="en-AU"/>
              </w:rPr>
              <w:t>The applicant must show that the detriment they suffered was because of their disability.</w:t>
            </w:r>
          </w:p>
        </w:tc>
        <w:tc>
          <w:tcPr>
            <w:tcW w:w="3783" w:type="dxa"/>
            <w:shd w:val="clear" w:color="auto" w:fill="FBE0E3"/>
            <w:vAlign w:val="center"/>
          </w:tcPr>
          <w:p w14:paraId="49FAAED9" w14:textId="77777777" w:rsidR="006221FB" w:rsidRPr="00F12847" w:rsidRDefault="006221FB" w:rsidP="00FC4FBF">
            <w:pPr>
              <w:pStyle w:val="QIDANParagraph"/>
              <w:numPr>
                <w:ilvl w:val="0"/>
                <w:numId w:val="24"/>
              </w:numPr>
              <w:spacing w:after="120" w:line="240" w:lineRule="auto"/>
              <w:ind w:left="484"/>
            </w:pPr>
            <w:r w:rsidRPr="00F12847">
              <w:t>The applicant must show facts and circumstances of the detriment they suffered.</w:t>
            </w:r>
          </w:p>
          <w:p w14:paraId="31128D08" w14:textId="77777777" w:rsidR="006221FB" w:rsidRPr="00F12847" w:rsidRDefault="006221FB" w:rsidP="00FC4FBF">
            <w:pPr>
              <w:pStyle w:val="QIDANParagraph"/>
              <w:numPr>
                <w:ilvl w:val="0"/>
                <w:numId w:val="24"/>
              </w:numPr>
              <w:spacing w:after="120" w:line="240" w:lineRule="auto"/>
              <w:ind w:left="484"/>
            </w:pPr>
            <w:r w:rsidRPr="00F12847">
              <w:t>The applicant must show that they are a person with disability.</w:t>
            </w:r>
          </w:p>
          <w:p w14:paraId="35AB2B7F" w14:textId="22CEB0D2" w:rsidR="00045A81" w:rsidRDefault="006221FB" w:rsidP="00FC4FBF">
            <w:pPr>
              <w:pStyle w:val="QIDANParagraph"/>
              <w:numPr>
                <w:ilvl w:val="0"/>
                <w:numId w:val="24"/>
              </w:numPr>
              <w:spacing w:after="120" w:line="240" w:lineRule="auto"/>
              <w:ind w:left="484"/>
              <w:rPr>
                <w:b/>
                <w:bCs/>
                <w:lang w:val="en-GB"/>
              </w:rPr>
            </w:pPr>
            <w:r w:rsidRPr="00F12847">
              <w:t>The respondent must show that the detriment the applicant suffered was NOT because of their disability.</w:t>
            </w:r>
          </w:p>
        </w:tc>
      </w:tr>
      <w:tr w:rsidR="00045A81" w14:paraId="22DAA89B" w14:textId="77777777" w:rsidTr="00FE403B">
        <w:tc>
          <w:tcPr>
            <w:tcW w:w="2258" w:type="dxa"/>
            <w:shd w:val="clear" w:color="auto" w:fill="FBE0E3"/>
            <w:vAlign w:val="center"/>
          </w:tcPr>
          <w:p w14:paraId="46E698CA" w14:textId="51725409" w:rsidR="00045A81" w:rsidRDefault="00045A81" w:rsidP="00FC4FBF">
            <w:pPr>
              <w:pStyle w:val="QIDANParagraph"/>
              <w:spacing w:after="120" w:line="240" w:lineRule="auto"/>
              <w:rPr>
                <w:b/>
                <w:bCs/>
                <w:lang w:val="en-GB"/>
              </w:rPr>
            </w:pPr>
            <w:r>
              <w:rPr>
                <w:b/>
                <w:bCs/>
                <w:lang w:val="en-GB"/>
              </w:rPr>
              <w:lastRenderedPageBreak/>
              <w:t>Elements of indirect discrimination</w:t>
            </w:r>
          </w:p>
        </w:tc>
        <w:tc>
          <w:tcPr>
            <w:tcW w:w="3686" w:type="dxa"/>
            <w:shd w:val="clear" w:color="auto" w:fill="FBE0E3"/>
            <w:vAlign w:val="center"/>
          </w:tcPr>
          <w:p w14:paraId="00B8FF1E" w14:textId="77777777" w:rsidR="006221FB" w:rsidRPr="00F12847" w:rsidRDefault="006221FB" w:rsidP="00FC4FBF">
            <w:pPr>
              <w:pStyle w:val="QIDANParagraph"/>
              <w:numPr>
                <w:ilvl w:val="0"/>
                <w:numId w:val="20"/>
              </w:numPr>
              <w:tabs>
                <w:tab w:val="left" w:pos="416"/>
              </w:tabs>
              <w:spacing w:after="120" w:line="240" w:lineRule="auto"/>
              <w:ind w:left="265" w:hanging="265"/>
            </w:pPr>
            <w:r w:rsidRPr="00F12847">
              <w:t>A requirement to comply with a condition, requirement or practice.</w:t>
            </w:r>
          </w:p>
          <w:p w14:paraId="541FDF90" w14:textId="77777777" w:rsidR="006221FB" w:rsidRPr="00F12847" w:rsidRDefault="006221FB" w:rsidP="00FC4FBF">
            <w:pPr>
              <w:pStyle w:val="QIDANParagraph"/>
              <w:numPr>
                <w:ilvl w:val="0"/>
                <w:numId w:val="20"/>
              </w:numPr>
              <w:tabs>
                <w:tab w:val="left" w:pos="416"/>
              </w:tabs>
              <w:spacing w:after="120" w:line="240" w:lineRule="auto"/>
              <w:ind w:left="265" w:hanging="265"/>
            </w:pPr>
            <w:r w:rsidRPr="00F12847">
              <w:t xml:space="preserve">A requirement disadvantages people with disability. </w:t>
            </w:r>
          </w:p>
          <w:p w14:paraId="65D083F5" w14:textId="77777777" w:rsidR="006221FB" w:rsidRPr="00F12847" w:rsidRDefault="006221FB" w:rsidP="00FC4FBF">
            <w:pPr>
              <w:pStyle w:val="QIDANParagraph"/>
              <w:numPr>
                <w:ilvl w:val="0"/>
                <w:numId w:val="20"/>
              </w:numPr>
              <w:tabs>
                <w:tab w:val="left" w:pos="416"/>
              </w:tabs>
              <w:spacing w:after="120" w:line="240" w:lineRule="auto"/>
              <w:ind w:left="265" w:hanging="265"/>
            </w:pPr>
            <w:r w:rsidRPr="00F12847">
              <w:t xml:space="preserve">A person does not or would not comply or is not able or would not be able to comply with the condition. </w:t>
            </w:r>
          </w:p>
          <w:p w14:paraId="0B6341D9" w14:textId="77777777" w:rsidR="006221FB" w:rsidRPr="00F12847" w:rsidRDefault="006221FB" w:rsidP="00FC4FBF">
            <w:pPr>
              <w:pStyle w:val="QIDANParagraph"/>
              <w:numPr>
                <w:ilvl w:val="0"/>
                <w:numId w:val="20"/>
              </w:numPr>
              <w:tabs>
                <w:tab w:val="left" w:pos="416"/>
              </w:tabs>
              <w:spacing w:after="120" w:line="240" w:lineRule="auto"/>
              <w:ind w:left="265" w:hanging="265"/>
            </w:pPr>
            <w:r w:rsidRPr="00F12847">
              <w:t xml:space="preserve">It is not indirect discrimination if the condition, requirement or practice is reasonable. </w:t>
            </w:r>
          </w:p>
          <w:p w14:paraId="178044F2" w14:textId="79E1CE43" w:rsidR="00045A81" w:rsidRDefault="006221FB" w:rsidP="00FC4FBF">
            <w:pPr>
              <w:pStyle w:val="QIDANParagraph"/>
              <w:numPr>
                <w:ilvl w:val="0"/>
                <w:numId w:val="20"/>
              </w:numPr>
              <w:tabs>
                <w:tab w:val="left" w:pos="416"/>
              </w:tabs>
              <w:spacing w:after="120" w:line="240" w:lineRule="auto"/>
              <w:ind w:left="265" w:hanging="265"/>
              <w:rPr>
                <w:b/>
                <w:bCs/>
                <w:lang w:val="en-GB"/>
              </w:rPr>
            </w:pPr>
            <w:r w:rsidRPr="00F12847">
              <w:t>Exception: Not indirect discrimination if avoiding discrimination would impose an unjustifiable hardship.</w:t>
            </w:r>
          </w:p>
        </w:tc>
        <w:tc>
          <w:tcPr>
            <w:tcW w:w="3783" w:type="dxa"/>
            <w:shd w:val="clear" w:color="auto" w:fill="FBE0E3"/>
            <w:vAlign w:val="center"/>
          </w:tcPr>
          <w:p w14:paraId="745A24DE" w14:textId="77777777" w:rsidR="006221FB" w:rsidRPr="00F12847" w:rsidRDefault="006221FB" w:rsidP="00FC4FBF">
            <w:pPr>
              <w:pStyle w:val="QIDANParagraph"/>
              <w:numPr>
                <w:ilvl w:val="0"/>
                <w:numId w:val="24"/>
              </w:numPr>
              <w:spacing w:after="120" w:line="240" w:lineRule="auto"/>
              <w:ind w:left="484"/>
            </w:pPr>
            <w:r w:rsidRPr="00F12847">
              <w:t xml:space="preserve">A requirement to comply with a condition, requirement or practice. </w:t>
            </w:r>
          </w:p>
          <w:p w14:paraId="4145607E" w14:textId="77777777" w:rsidR="006221FB" w:rsidRPr="00F12847" w:rsidRDefault="006221FB" w:rsidP="00FC4FBF">
            <w:pPr>
              <w:pStyle w:val="QIDANParagraph"/>
              <w:numPr>
                <w:ilvl w:val="0"/>
                <w:numId w:val="24"/>
              </w:numPr>
              <w:spacing w:after="120" w:line="240" w:lineRule="auto"/>
              <w:ind w:left="484"/>
            </w:pPr>
            <w:r w:rsidRPr="00F12847">
              <w:t>A requirement disadvantages people with disability.</w:t>
            </w:r>
          </w:p>
          <w:p w14:paraId="1D93A7C1" w14:textId="77777777" w:rsidR="006221FB" w:rsidRPr="00F12847" w:rsidRDefault="006221FB" w:rsidP="00FC4FBF">
            <w:pPr>
              <w:pStyle w:val="QIDANParagraph"/>
              <w:numPr>
                <w:ilvl w:val="0"/>
                <w:numId w:val="24"/>
              </w:numPr>
              <w:spacing w:after="120" w:line="240" w:lineRule="auto"/>
              <w:ind w:left="484"/>
            </w:pPr>
            <w:r w:rsidRPr="00F12847">
              <w:t>Not indirect discrimination if avoiding discrimination would impose an unjustifiable hardship.</w:t>
            </w:r>
          </w:p>
          <w:p w14:paraId="2EE1ADF0" w14:textId="77777777" w:rsidR="00045A81" w:rsidRDefault="00045A81" w:rsidP="00FC4FBF">
            <w:pPr>
              <w:pStyle w:val="QIDANParagraph"/>
              <w:spacing w:after="120" w:line="240" w:lineRule="auto"/>
              <w:rPr>
                <w:b/>
                <w:bCs/>
                <w:lang w:val="en-GB"/>
              </w:rPr>
            </w:pPr>
          </w:p>
        </w:tc>
      </w:tr>
    </w:tbl>
    <w:p w14:paraId="61C63967" w14:textId="7D274719" w:rsidR="005D197B" w:rsidRDefault="005D197B" w:rsidP="005D197B">
      <w:pPr>
        <w:pStyle w:val="Heading1"/>
        <w:rPr>
          <w:rFonts w:ascii="Nunito Sans" w:hAnsi="Nunito Sans" w:cs="Poppins SemiBold"/>
          <w:b/>
          <w:bCs/>
          <w:color w:val="690048"/>
          <w:sz w:val="28"/>
          <w:szCs w:val="28"/>
        </w:rPr>
      </w:pPr>
      <w:bookmarkStart w:id="5" w:name="_Toc212816947"/>
      <w:r>
        <w:rPr>
          <w:rFonts w:ascii="Nunito Sans" w:hAnsi="Nunito Sans" w:cs="Poppins SemiBold"/>
          <w:b/>
          <w:bCs/>
          <w:color w:val="690048"/>
          <w:sz w:val="28"/>
          <w:szCs w:val="28"/>
        </w:rPr>
        <w:t>Positive duty</w:t>
      </w:r>
      <w:r w:rsidR="00365F06">
        <w:rPr>
          <w:rFonts w:ascii="Nunito Sans" w:hAnsi="Nunito Sans" w:cs="Poppins SemiBold"/>
          <w:b/>
          <w:bCs/>
          <w:color w:val="690048"/>
          <w:sz w:val="28"/>
          <w:szCs w:val="28"/>
        </w:rPr>
        <w:t>:</w:t>
      </w:r>
      <w:r w:rsidR="00146332">
        <w:rPr>
          <w:rFonts w:ascii="Nunito Sans" w:hAnsi="Nunito Sans" w:cs="Poppins SemiBold"/>
          <w:b/>
          <w:bCs/>
          <w:color w:val="690048"/>
          <w:sz w:val="28"/>
          <w:szCs w:val="28"/>
        </w:rPr>
        <w:t xml:space="preserve"> </w:t>
      </w:r>
      <w:r w:rsidR="00E21819">
        <w:rPr>
          <w:rFonts w:ascii="Nunito Sans" w:hAnsi="Nunito Sans" w:cs="Poppins SemiBold"/>
          <w:b/>
          <w:bCs/>
          <w:color w:val="690048"/>
          <w:sz w:val="28"/>
          <w:szCs w:val="28"/>
        </w:rPr>
        <w:t>a</w:t>
      </w:r>
      <w:r w:rsidR="00463A66">
        <w:rPr>
          <w:rFonts w:ascii="Nunito Sans" w:hAnsi="Nunito Sans" w:cs="Poppins SemiBold"/>
          <w:b/>
          <w:bCs/>
          <w:color w:val="690048"/>
          <w:sz w:val="28"/>
          <w:szCs w:val="28"/>
        </w:rPr>
        <w:t xml:space="preserve"> </w:t>
      </w:r>
      <w:r w:rsidR="00463A66" w:rsidRPr="00646374">
        <w:rPr>
          <w:rFonts w:ascii="Nunito Sans" w:hAnsi="Nunito Sans" w:cs="Poppins SemiBold"/>
          <w:b/>
          <w:bCs/>
          <w:color w:val="690048"/>
          <w:sz w:val="28"/>
          <w:szCs w:val="28"/>
        </w:rPr>
        <w:t>crucial</w:t>
      </w:r>
      <w:r w:rsidR="00E21819">
        <w:rPr>
          <w:rFonts w:ascii="Nunito Sans" w:hAnsi="Nunito Sans" w:cs="Poppins SemiBold"/>
          <w:b/>
          <w:bCs/>
          <w:color w:val="690048"/>
          <w:sz w:val="28"/>
          <w:szCs w:val="28"/>
        </w:rPr>
        <w:t xml:space="preserve"> step towards </w:t>
      </w:r>
      <w:r w:rsidR="00146332">
        <w:rPr>
          <w:rFonts w:ascii="Nunito Sans" w:hAnsi="Nunito Sans" w:cs="Poppins SemiBold"/>
          <w:b/>
          <w:bCs/>
          <w:color w:val="690048"/>
          <w:sz w:val="28"/>
          <w:szCs w:val="28"/>
        </w:rPr>
        <w:t>equality</w:t>
      </w:r>
      <w:bookmarkEnd w:id="5"/>
    </w:p>
    <w:p w14:paraId="1497630B" w14:textId="45799891" w:rsidR="003205BA" w:rsidRDefault="003205BA" w:rsidP="00EF4789">
      <w:pPr>
        <w:pStyle w:val="QIDANParagraph"/>
      </w:pPr>
      <w:r>
        <w:t>This section covers questions 12-</w:t>
      </w:r>
      <w:r w:rsidR="00507B7D">
        <w:t>15</w:t>
      </w:r>
      <w:r>
        <w:t xml:space="preserve"> of the Issues Paper.</w:t>
      </w:r>
    </w:p>
    <w:p w14:paraId="0C95121E" w14:textId="6836ACFD" w:rsidR="005D197B" w:rsidRDefault="00EF4789" w:rsidP="00EF4789">
      <w:pPr>
        <w:pStyle w:val="QIDANParagraph"/>
      </w:pPr>
      <w:r>
        <w:t>To promote</w:t>
      </w:r>
      <w:r w:rsidR="00677A52">
        <w:t xml:space="preserve"> equality and inclusion we must shift from a reactive model</w:t>
      </w:r>
      <w:r w:rsidR="00E36A93">
        <w:t xml:space="preserve"> which </w:t>
      </w:r>
      <w:r w:rsidR="0041108E">
        <w:t>is generally individual based,</w:t>
      </w:r>
      <w:r w:rsidR="00677A52">
        <w:t xml:space="preserve"> to </w:t>
      </w:r>
      <w:r w:rsidR="00E36A93">
        <w:t>prevention and elimination</w:t>
      </w:r>
      <w:r w:rsidR="000148EA">
        <w:t xml:space="preserve"> of systemic barriers for people with disability more broadly.</w:t>
      </w:r>
      <w:r w:rsidR="0041108E">
        <w:t xml:space="preserve"> </w:t>
      </w:r>
      <w:r w:rsidR="006B2BE7">
        <w:t xml:space="preserve">We need positive changes and actions to </w:t>
      </w:r>
      <w:r w:rsidR="009D3EC9">
        <w:t>achieve inclusion.</w:t>
      </w:r>
      <w:r w:rsidR="000148EA">
        <w:t xml:space="preserve"> </w:t>
      </w:r>
    </w:p>
    <w:p w14:paraId="2D0A02C9" w14:textId="0628C360" w:rsidR="003174CC" w:rsidRDefault="00DB03BF" w:rsidP="00EF4789">
      <w:pPr>
        <w:pStyle w:val="QIDANParagraph"/>
      </w:pPr>
      <w:r>
        <w:t>In</w:t>
      </w:r>
      <w:r w:rsidR="0028780A">
        <w:t xml:space="preserve">troducing a positive duty </w:t>
      </w:r>
      <w:r w:rsidR="000A6250">
        <w:t>in the DDA</w:t>
      </w:r>
      <w:r w:rsidR="00734EC9">
        <w:t xml:space="preserve"> </w:t>
      </w:r>
      <w:r w:rsidR="00DA05AC">
        <w:t xml:space="preserve">would further support its existing objects </w:t>
      </w:r>
      <w:r w:rsidR="00D61807">
        <w:t xml:space="preserve">as well as the </w:t>
      </w:r>
      <w:r w:rsidR="00B32D7B">
        <w:t xml:space="preserve">implementation of the </w:t>
      </w:r>
      <w:r w:rsidR="00D61807">
        <w:t>CRPD</w:t>
      </w:r>
      <w:r w:rsidR="00712896">
        <w:t>, as it provide</w:t>
      </w:r>
      <w:r w:rsidR="003F4423">
        <w:t>s adequate protection in the first instance which may prevent the discrimination from occurring</w:t>
      </w:r>
      <w:r w:rsidR="00D61807">
        <w:t>.</w:t>
      </w:r>
      <w:r w:rsidR="002C6AB1">
        <w:t xml:space="preserve"> </w:t>
      </w:r>
      <w:r w:rsidR="008408CF">
        <w:t xml:space="preserve">During the Queensland anti-discrimination reform, </w:t>
      </w:r>
      <w:r w:rsidR="0083436C">
        <w:rPr>
          <w:lang w:val="en-GB"/>
        </w:rPr>
        <w:t>of</w:t>
      </w:r>
      <w:r w:rsidR="008408CF" w:rsidRPr="008408CF">
        <w:rPr>
          <w:lang w:val="en-GB"/>
        </w:rPr>
        <w:t xml:space="preserve"> the 33 submissions made to the QHRC regarding the reforms to the ADA, 29 were in favour of a positive duty in some form.</w:t>
      </w:r>
      <w:r w:rsidR="008408CF" w:rsidRPr="008408CF">
        <w:rPr>
          <w:vertAlign w:val="superscript"/>
          <w:lang w:val="en-GB"/>
        </w:rPr>
        <w:footnoteReference w:id="8"/>
      </w:r>
    </w:p>
    <w:p w14:paraId="78EAAF8C" w14:textId="77777777" w:rsidR="00FB0C1B" w:rsidRDefault="0084350E" w:rsidP="00EF4789">
      <w:pPr>
        <w:pStyle w:val="QIDANParagraph"/>
      </w:pPr>
      <w:r>
        <w:t>Applying a</w:t>
      </w:r>
      <w:r w:rsidR="001D4E0A">
        <w:t xml:space="preserve"> positive duty </w:t>
      </w:r>
      <w:r>
        <w:t>to both the public and the private sectors</w:t>
      </w:r>
      <w:r w:rsidR="00330892">
        <w:t xml:space="preserve"> is an encouragement to take meaningful positive action to eliminate discrimination.</w:t>
      </w:r>
      <w:r w:rsidR="00C95DD5">
        <w:t xml:space="preserve"> </w:t>
      </w:r>
      <w:r w:rsidR="00DC37AE">
        <w:t>Without an enforcement of a positive duty</w:t>
      </w:r>
      <w:r w:rsidR="00593B55">
        <w:t>, the discrimination framework will continue to be reactionary with little to no change to community behaviour.</w:t>
      </w:r>
    </w:p>
    <w:p w14:paraId="72B56065" w14:textId="62CF13BA" w:rsidR="00931931" w:rsidRPr="00931931" w:rsidRDefault="00931931" w:rsidP="00931931">
      <w:pPr>
        <w:pStyle w:val="QIDANParagraph"/>
      </w:pPr>
      <w:r w:rsidRPr="00931931">
        <w:lastRenderedPageBreak/>
        <w:t>By introducing a positive duty to prevent discrimination, those who hold this duty must become informed about what it entails. This will encourage greater awareness about disability issues and rights, which in turn supports a collective cultural shift to improved equity and inclusion for all.</w:t>
      </w:r>
      <w:r w:rsidR="00AB514A">
        <w:t xml:space="preserve"> </w:t>
      </w:r>
      <w:r w:rsidR="00287192">
        <w:t>Positive</w:t>
      </w:r>
      <w:r w:rsidRPr="00931931">
        <w:t xml:space="preserve"> duty </w:t>
      </w:r>
      <w:r w:rsidR="00287192">
        <w:t>can</w:t>
      </w:r>
      <w:r w:rsidRPr="00931931">
        <w:t xml:space="preserve"> act as a powerful mechanism for </w:t>
      </w:r>
      <w:r w:rsidR="00BE7CAD">
        <w:t>identifying</w:t>
      </w:r>
      <w:r w:rsidRPr="00931931">
        <w:t xml:space="preserve"> key issues within the disability community, enabling governments, organisations, and employers to identify patterns of discrimination, improve educational and awareness training, and re-design their policies towards better inclusion and diversity.</w:t>
      </w:r>
      <w:r w:rsidRPr="00931931">
        <w:rPr>
          <w:vertAlign w:val="superscript"/>
        </w:rPr>
        <w:footnoteReference w:id="9"/>
      </w:r>
    </w:p>
    <w:p w14:paraId="2925643E" w14:textId="325785E0" w:rsidR="00715AA0" w:rsidRDefault="001D7F73" w:rsidP="003E57C7">
      <w:pPr>
        <w:pStyle w:val="QIDANParagraph"/>
        <w:spacing w:after="240"/>
      </w:pPr>
      <w:r>
        <w:t xml:space="preserve">Adequately resourcing the </w:t>
      </w:r>
      <w:r w:rsidR="00BE2B5C">
        <w:t>AHRC</w:t>
      </w:r>
      <w:r w:rsidR="0011174F">
        <w:t xml:space="preserve"> is an essential step</w:t>
      </w:r>
      <w:r>
        <w:t xml:space="preserve"> </w:t>
      </w:r>
      <w:r w:rsidR="0011174F">
        <w:t xml:space="preserve">to </w:t>
      </w:r>
      <w:r w:rsidR="00656A02">
        <w:t xml:space="preserve">effectively </w:t>
      </w:r>
      <w:r w:rsidR="0011174F">
        <w:t>enforce the positive duty</w:t>
      </w:r>
      <w:r w:rsidR="003F2E7B">
        <w:t xml:space="preserve"> by</w:t>
      </w:r>
      <w:r w:rsidR="00EC475F">
        <w:t xml:space="preserve"> educating entities</w:t>
      </w:r>
      <w:r w:rsidR="00F42E5F">
        <w:t>, promoting awareness</w:t>
      </w:r>
      <w:r w:rsidR="00EC475F">
        <w:t>, conducting</w:t>
      </w:r>
      <w:r w:rsidR="003F2E7B">
        <w:t xml:space="preserve"> investigations and m</w:t>
      </w:r>
      <w:r w:rsidR="00EC475F">
        <w:t xml:space="preserve">onitoring compliance. </w:t>
      </w:r>
      <w:r w:rsidR="001824D3">
        <w:t>Th</w:t>
      </w:r>
      <w:r w:rsidR="008E31DC">
        <w:t>e</w:t>
      </w:r>
      <w:r w:rsidR="001824D3">
        <w:t xml:space="preserve"> power of the AHRC</w:t>
      </w:r>
      <w:r w:rsidR="008E31DC">
        <w:t xml:space="preserve"> to enforce a positive duty</w:t>
      </w:r>
      <w:r w:rsidR="001824D3">
        <w:t xml:space="preserve"> should be </w:t>
      </w:r>
      <w:r w:rsidR="00D904A0">
        <w:t>led</w:t>
      </w:r>
      <w:r w:rsidR="001824D3">
        <w:t xml:space="preserve"> by people with disability who are experts in discrimination matters.  </w:t>
      </w:r>
    </w:p>
    <w:p w14:paraId="2E26772B" w14:textId="667EC2FC" w:rsidR="00057C99" w:rsidRPr="001226B4" w:rsidRDefault="00057C99" w:rsidP="001226B4">
      <w:pPr>
        <w:spacing w:line="360" w:lineRule="auto"/>
        <w:rPr>
          <w:rFonts w:ascii="Nunito Sans" w:hAnsi="Nunito Sans"/>
          <w:b/>
          <w:bCs/>
          <w:color w:val="690048"/>
        </w:rPr>
      </w:pPr>
      <w:r w:rsidRPr="001226B4">
        <w:rPr>
          <w:rFonts w:ascii="Nunito Sans" w:hAnsi="Nunito Sans"/>
          <w:b/>
          <w:bCs/>
          <w:color w:val="690048"/>
        </w:rPr>
        <w:t>Invest in support</w:t>
      </w:r>
      <w:r w:rsidR="001226B4" w:rsidRPr="001226B4">
        <w:rPr>
          <w:rFonts w:ascii="Nunito Sans" w:hAnsi="Nunito Sans"/>
          <w:b/>
          <w:bCs/>
          <w:color w:val="690048"/>
        </w:rPr>
        <w:t xml:space="preserve">, not </w:t>
      </w:r>
      <w:r w:rsidR="003049F3">
        <w:rPr>
          <w:rFonts w:ascii="Nunito Sans" w:hAnsi="Nunito Sans"/>
          <w:b/>
          <w:bCs/>
          <w:color w:val="690048"/>
        </w:rPr>
        <w:t xml:space="preserve">in </w:t>
      </w:r>
      <w:r w:rsidR="001226B4" w:rsidRPr="001226B4">
        <w:rPr>
          <w:rFonts w:ascii="Nunito Sans" w:hAnsi="Nunito Sans"/>
          <w:b/>
          <w:bCs/>
          <w:color w:val="690048"/>
        </w:rPr>
        <w:t>punishment</w:t>
      </w:r>
    </w:p>
    <w:p w14:paraId="1948FFAD" w14:textId="5F96F00A" w:rsidR="008E31DC" w:rsidRDefault="006D7753" w:rsidP="00EF4789">
      <w:pPr>
        <w:pStyle w:val="QIDANParagraph"/>
        <w:rPr>
          <w:lang w:val="en-GB"/>
        </w:rPr>
      </w:pPr>
      <w:r>
        <w:t xml:space="preserve">Queensland Advocacy for Inclusion (QAI), one of QIDAN members, leads </w:t>
      </w:r>
      <w:r w:rsidR="00562354">
        <w:rPr>
          <w:lang w:val="en-GB"/>
        </w:rPr>
        <w:t xml:space="preserve">the </w:t>
      </w:r>
      <w:hyperlink r:id="rId11">
        <w:r w:rsidR="137AE282" w:rsidRPr="29BB67C7">
          <w:rPr>
            <w:rStyle w:val="Hyperlink"/>
            <w:lang w:val="en-GB"/>
          </w:rPr>
          <w:t>A Right to Learn</w:t>
        </w:r>
      </w:hyperlink>
      <w:r w:rsidR="00562354" w:rsidRPr="00562354">
        <w:rPr>
          <w:lang w:val="en-GB"/>
        </w:rPr>
        <w:t xml:space="preserve"> campaign</w:t>
      </w:r>
      <w:r w:rsidR="009E6851">
        <w:rPr>
          <w:lang w:val="en-GB"/>
        </w:rPr>
        <w:t>, which</w:t>
      </w:r>
      <w:r w:rsidR="00562354" w:rsidRPr="00562354">
        <w:rPr>
          <w:lang w:val="en-GB"/>
        </w:rPr>
        <w:t xml:space="preserve"> is made up of a coalition of community organisations and support services. The coalition are publicly calling on the Queensland Government to conduct an inquiry into the use of school disciplinary absences in Queensland State Schools</w:t>
      </w:r>
      <w:r w:rsidR="00ED38F9">
        <w:rPr>
          <w:lang w:val="en-GB"/>
        </w:rPr>
        <w:t xml:space="preserve">. </w:t>
      </w:r>
      <w:r w:rsidR="00ED38F9" w:rsidRPr="00ED38F9">
        <w:rPr>
          <w:lang w:val="en-GB"/>
        </w:rPr>
        <w:t xml:space="preserve">As part of </w:t>
      </w:r>
      <w:r w:rsidR="00ED38F9">
        <w:rPr>
          <w:lang w:val="en-GB"/>
        </w:rPr>
        <w:t>its</w:t>
      </w:r>
      <w:r w:rsidR="00ED38F9" w:rsidRPr="00ED38F9">
        <w:rPr>
          <w:lang w:val="en-GB"/>
        </w:rPr>
        <w:t xml:space="preserve"> role leading the campaign, QAI commissioned an </w:t>
      </w:r>
      <w:hyperlink r:id="rId12">
        <w:r w:rsidR="2B310F11" w:rsidRPr="29BB67C7">
          <w:rPr>
            <w:rStyle w:val="Hyperlink"/>
            <w:lang w:val="en-GB"/>
          </w:rPr>
          <w:t>analysis of the economic impacts</w:t>
        </w:r>
      </w:hyperlink>
      <w:r w:rsidR="2B310F11" w:rsidRPr="29BB67C7">
        <w:rPr>
          <w:lang w:val="en-GB"/>
        </w:rPr>
        <w:t xml:space="preserve"> of suspending students with disability from school.</w:t>
      </w:r>
      <w:r w:rsidR="46DF1366" w:rsidRPr="29BB67C7">
        <w:rPr>
          <w:lang w:val="en-GB"/>
        </w:rPr>
        <w:t xml:space="preserve"> </w:t>
      </w:r>
      <w:r w:rsidR="00287192">
        <w:rPr>
          <w:lang w:val="en-GB"/>
        </w:rPr>
        <w:t>In</w:t>
      </w:r>
      <w:r w:rsidR="00BC0EB5">
        <w:rPr>
          <w:lang w:val="en-GB"/>
        </w:rPr>
        <w:t xml:space="preserve"> </w:t>
      </w:r>
      <w:r w:rsidR="00854D87">
        <w:rPr>
          <w:lang w:val="en-GB"/>
        </w:rPr>
        <w:t xml:space="preserve">summary </w:t>
      </w:r>
      <w:r w:rsidR="00BC0EB5">
        <w:rPr>
          <w:lang w:val="en-GB"/>
        </w:rPr>
        <w:t>the analysis found:</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1"/>
        <w:gridCol w:w="1666"/>
      </w:tblGrid>
      <w:tr w:rsidR="00331F91" w:rsidRPr="003C0600" w14:paraId="6154438C" w14:textId="77777777" w:rsidTr="00EC1F0D">
        <w:trPr>
          <w:trHeight w:val="629"/>
        </w:trPr>
        <w:tc>
          <w:tcPr>
            <w:tcW w:w="8080" w:type="dxa"/>
            <w:shd w:val="clear" w:color="auto" w:fill="690048"/>
            <w:vAlign w:val="center"/>
          </w:tcPr>
          <w:p w14:paraId="76739F44" w14:textId="5337A5EF" w:rsidR="00331F91" w:rsidRPr="003C0600" w:rsidRDefault="00331F91" w:rsidP="003C0600">
            <w:pPr>
              <w:pStyle w:val="QIDANParagraph"/>
              <w:spacing w:line="240" w:lineRule="auto"/>
              <w:rPr>
                <w:b/>
                <w:bCs/>
                <w:lang w:val="en-GB"/>
              </w:rPr>
            </w:pPr>
            <w:r w:rsidRPr="003C0600">
              <w:rPr>
                <w:b/>
                <w:bCs/>
                <w:lang w:val="en-GB"/>
              </w:rPr>
              <w:t>Cohort</w:t>
            </w:r>
          </w:p>
        </w:tc>
        <w:tc>
          <w:tcPr>
            <w:tcW w:w="1667" w:type="dxa"/>
            <w:shd w:val="clear" w:color="auto" w:fill="690048"/>
            <w:vAlign w:val="center"/>
          </w:tcPr>
          <w:p w14:paraId="4CB1F015" w14:textId="61E60788" w:rsidR="00331F91" w:rsidRPr="003C0600" w:rsidRDefault="00331F91" w:rsidP="003C0600">
            <w:pPr>
              <w:pStyle w:val="QIDANParagraph"/>
              <w:spacing w:line="240" w:lineRule="auto"/>
              <w:rPr>
                <w:b/>
                <w:bCs/>
                <w:lang w:val="en-GB"/>
              </w:rPr>
            </w:pPr>
            <w:r w:rsidRPr="003C0600">
              <w:rPr>
                <w:b/>
                <w:bCs/>
                <w:lang w:val="en-GB"/>
              </w:rPr>
              <w:t>Number</w:t>
            </w:r>
          </w:p>
        </w:tc>
      </w:tr>
      <w:tr w:rsidR="00331F91" w14:paraId="4DE5E811" w14:textId="77777777" w:rsidTr="00EC1F0D">
        <w:tc>
          <w:tcPr>
            <w:tcW w:w="8080" w:type="dxa"/>
            <w:shd w:val="clear" w:color="auto" w:fill="FBE0E3"/>
            <w:vAlign w:val="center"/>
          </w:tcPr>
          <w:p w14:paraId="2D3F01BA" w14:textId="74FECA9C" w:rsidR="00331F91" w:rsidRDefault="00331F91" w:rsidP="003C0600">
            <w:pPr>
              <w:pStyle w:val="QIDANParagraph"/>
              <w:spacing w:line="240" w:lineRule="auto"/>
              <w:rPr>
                <w:lang w:val="en-GB"/>
              </w:rPr>
            </w:pPr>
            <w:r w:rsidRPr="007416EB">
              <w:rPr>
                <w:rFonts w:ascii="Nunito" w:hAnsi="Nunito"/>
                <w:lang w:eastAsia="en-AU"/>
              </w:rPr>
              <w:t>Number of Prep to Year 12 students in Queensland with a disability who receive short suspensions each year</w:t>
            </w:r>
          </w:p>
        </w:tc>
        <w:tc>
          <w:tcPr>
            <w:tcW w:w="1667" w:type="dxa"/>
            <w:shd w:val="clear" w:color="auto" w:fill="FBE0E3"/>
            <w:vAlign w:val="center"/>
          </w:tcPr>
          <w:p w14:paraId="65321895" w14:textId="76006EFC" w:rsidR="00331F91" w:rsidRDefault="00331F91" w:rsidP="003C0600">
            <w:pPr>
              <w:pStyle w:val="QIDANParagraph"/>
              <w:spacing w:line="240" w:lineRule="auto"/>
              <w:rPr>
                <w:lang w:val="en-GB"/>
              </w:rPr>
            </w:pPr>
            <w:r>
              <w:rPr>
                <w:rFonts w:ascii="Nunito" w:hAnsi="Nunito"/>
              </w:rPr>
              <w:t>16,118</w:t>
            </w:r>
          </w:p>
        </w:tc>
      </w:tr>
      <w:tr w:rsidR="00331F91" w14:paraId="5787ED1F" w14:textId="77777777" w:rsidTr="00EC1F0D">
        <w:tc>
          <w:tcPr>
            <w:tcW w:w="8080" w:type="dxa"/>
            <w:shd w:val="clear" w:color="auto" w:fill="690048"/>
            <w:vAlign w:val="center"/>
          </w:tcPr>
          <w:p w14:paraId="0BAE71EA" w14:textId="14A0ABA9" w:rsidR="00331F91" w:rsidRPr="007416EB" w:rsidRDefault="00331F91" w:rsidP="003C0600">
            <w:pPr>
              <w:pStyle w:val="QIDANParagraph"/>
              <w:spacing w:line="240" w:lineRule="auto"/>
              <w:rPr>
                <w:rFonts w:ascii="Nunito" w:hAnsi="Nunito"/>
                <w:lang w:eastAsia="en-AU"/>
              </w:rPr>
            </w:pPr>
            <w:r w:rsidRPr="0089288D">
              <w:rPr>
                <w:rFonts w:ascii="Nunito" w:hAnsi="Nunito"/>
                <w:b/>
                <w:bCs/>
                <w:color w:val="FFFFFF" w:themeColor="background1"/>
                <w:kern w:val="0"/>
                <w:lang w:eastAsia="en-AU"/>
              </w:rPr>
              <w:t>Short term impacts (per year)</w:t>
            </w:r>
          </w:p>
        </w:tc>
        <w:tc>
          <w:tcPr>
            <w:tcW w:w="1667" w:type="dxa"/>
            <w:shd w:val="clear" w:color="auto" w:fill="690048"/>
            <w:vAlign w:val="center"/>
          </w:tcPr>
          <w:p w14:paraId="3E54D54E" w14:textId="4CE83AC4" w:rsidR="00331F91" w:rsidRDefault="00CC5B4B" w:rsidP="003C0600">
            <w:pPr>
              <w:pStyle w:val="QIDANParagraph"/>
              <w:spacing w:line="240" w:lineRule="auto"/>
              <w:rPr>
                <w:rFonts w:ascii="Nunito" w:hAnsi="Nunito"/>
              </w:rPr>
            </w:pPr>
            <w:r w:rsidRPr="0089288D">
              <w:rPr>
                <w:rFonts w:ascii="Nunito" w:hAnsi="Nunito"/>
                <w:b/>
                <w:bCs/>
                <w:color w:val="FFFFFF" w:themeColor="background1"/>
                <w:lang w:eastAsia="en-AU"/>
              </w:rPr>
              <w:t>Amount / Cost</w:t>
            </w:r>
          </w:p>
        </w:tc>
      </w:tr>
      <w:tr w:rsidR="00CC5B4B" w14:paraId="1A8E3F44" w14:textId="77777777" w:rsidTr="00EC1F0D">
        <w:tc>
          <w:tcPr>
            <w:tcW w:w="8080" w:type="dxa"/>
            <w:shd w:val="clear" w:color="auto" w:fill="FBE0E3"/>
            <w:vAlign w:val="center"/>
          </w:tcPr>
          <w:p w14:paraId="5E8D6470" w14:textId="03B983DE" w:rsidR="00CC5B4B" w:rsidRPr="0089288D" w:rsidRDefault="00CC5B4B" w:rsidP="003C0600">
            <w:pPr>
              <w:pStyle w:val="QIDANParagraph"/>
              <w:spacing w:line="240" w:lineRule="auto"/>
              <w:rPr>
                <w:rFonts w:ascii="Nunito" w:hAnsi="Nunito"/>
                <w:b/>
                <w:bCs/>
                <w:color w:val="FFFFFF" w:themeColor="background1"/>
                <w:kern w:val="0"/>
                <w:lang w:eastAsia="en-AU"/>
              </w:rPr>
            </w:pPr>
            <w:r>
              <w:rPr>
                <w:rFonts w:ascii="Nunito" w:hAnsi="Nunito"/>
              </w:rPr>
              <w:t>Annual parent / carer opportunity cost</w:t>
            </w:r>
          </w:p>
        </w:tc>
        <w:tc>
          <w:tcPr>
            <w:tcW w:w="1667" w:type="dxa"/>
            <w:shd w:val="clear" w:color="auto" w:fill="FBE0E3"/>
            <w:vAlign w:val="center"/>
          </w:tcPr>
          <w:p w14:paraId="71530FB3" w14:textId="7C5DE220" w:rsidR="00CC5B4B" w:rsidRPr="0089288D" w:rsidRDefault="00CC5B4B" w:rsidP="003C0600">
            <w:pPr>
              <w:pStyle w:val="QIDANParagraph"/>
              <w:spacing w:line="240" w:lineRule="auto"/>
              <w:rPr>
                <w:rFonts w:ascii="Nunito" w:hAnsi="Nunito"/>
                <w:b/>
                <w:bCs/>
                <w:color w:val="FFFFFF" w:themeColor="background1"/>
                <w:lang w:eastAsia="en-AU"/>
              </w:rPr>
            </w:pPr>
            <w:r>
              <w:rPr>
                <w:rFonts w:ascii="Nunito" w:hAnsi="Nunito"/>
              </w:rPr>
              <w:t>$14.1m</w:t>
            </w:r>
          </w:p>
        </w:tc>
      </w:tr>
      <w:tr w:rsidR="00CC5B4B" w14:paraId="0C02C358" w14:textId="77777777" w:rsidTr="00EC1F0D">
        <w:tc>
          <w:tcPr>
            <w:tcW w:w="8080" w:type="dxa"/>
            <w:shd w:val="clear" w:color="auto" w:fill="FBE0E3"/>
            <w:vAlign w:val="center"/>
          </w:tcPr>
          <w:p w14:paraId="1D227BE4" w14:textId="610CC71B" w:rsidR="00CC5B4B" w:rsidRDefault="00CC5B4B" w:rsidP="003C0600">
            <w:pPr>
              <w:pStyle w:val="QIDANParagraph"/>
              <w:spacing w:line="240" w:lineRule="auto"/>
              <w:rPr>
                <w:rFonts w:ascii="Nunito" w:hAnsi="Nunito"/>
              </w:rPr>
            </w:pPr>
            <w:r>
              <w:rPr>
                <w:rFonts w:ascii="Nunito" w:hAnsi="Nunito"/>
              </w:rPr>
              <w:t>Number of students not completing Year 12</w:t>
            </w:r>
          </w:p>
        </w:tc>
        <w:tc>
          <w:tcPr>
            <w:tcW w:w="1667" w:type="dxa"/>
            <w:shd w:val="clear" w:color="auto" w:fill="FBE0E3"/>
            <w:vAlign w:val="center"/>
          </w:tcPr>
          <w:p w14:paraId="4EF79B04" w14:textId="77C8EE46" w:rsidR="00CC5B4B" w:rsidRDefault="00CC5B4B" w:rsidP="003C0600">
            <w:pPr>
              <w:pStyle w:val="QIDANParagraph"/>
              <w:spacing w:line="240" w:lineRule="auto"/>
              <w:rPr>
                <w:rFonts w:ascii="Nunito" w:hAnsi="Nunito"/>
              </w:rPr>
            </w:pPr>
            <w:r>
              <w:rPr>
                <w:rFonts w:ascii="Nunito" w:hAnsi="Nunito"/>
              </w:rPr>
              <w:t>2,917</w:t>
            </w:r>
          </w:p>
        </w:tc>
      </w:tr>
      <w:tr w:rsidR="00CC5B4B" w14:paraId="55CD9E2B" w14:textId="77777777" w:rsidTr="00EC1F0D">
        <w:trPr>
          <w:trHeight w:val="484"/>
        </w:trPr>
        <w:tc>
          <w:tcPr>
            <w:tcW w:w="8080" w:type="dxa"/>
            <w:shd w:val="clear" w:color="auto" w:fill="690048"/>
            <w:vAlign w:val="center"/>
          </w:tcPr>
          <w:p w14:paraId="7F3A5DB7" w14:textId="723B18CE" w:rsidR="00CC5B4B" w:rsidRDefault="00CC5B4B" w:rsidP="003C0600">
            <w:pPr>
              <w:pStyle w:val="QIDANParagraph"/>
              <w:spacing w:line="240" w:lineRule="auto"/>
              <w:rPr>
                <w:rFonts w:ascii="Nunito" w:hAnsi="Nunito"/>
              </w:rPr>
            </w:pPr>
            <w:r w:rsidRPr="00224830">
              <w:rPr>
                <w:rFonts w:ascii="Nunito" w:hAnsi="Nunito"/>
                <w:b/>
                <w:bCs/>
                <w:color w:val="FFFFFF" w:themeColor="background1"/>
              </w:rPr>
              <w:t>Short team impacts (for suspended students aged 14-17 per year)</w:t>
            </w:r>
          </w:p>
        </w:tc>
        <w:tc>
          <w:tcPr>
            <w:tcW w:w="1667" w:type="dxa"/>
            <w:shd w:val="clear" w:color="auto" w:fill="690048"/>
            <w:vAlign w:val="center"/>
          </w:tcPr>
          <w:p w14:paraId="7D2A2B57" w14:textId="26AC8E4F" w:rsidR="00CC5B4B" w:rsidRDefault="00CC5B4B" w:rsidP="003C0600">
            <w:pPr>
              <w:pStyle w:val="QIDANParagraph"/>
              <w:spacing w:line="240" w:lineRule="auto"/>
              <w:rPr>
                <w:rFonts w:ascii="Nunito" w:hAnsi="Nunito"/>
              </w:rPr>
            </w:pPr>
            <w:r w:rsidRPr="00224830">
              <w:rPr>
                <w:rFonts w:ascii="Nunito" w:hAnsi="Nunito"/>
                <w:b/>
                <w:bCs/>
                <w:color w:val="FFFFFF" w:themeColor="background1"/>
              </w:rPr>
              <w:t>Cost</w:t>
            </w:r>
          </w:p>
        </w:tc>
      </w:tr>
      <w:tr w:rsidR="003C0600" w14:paraId="589E914A" w14:textId="77777777" w:rsidTr="00EC1F0D">
        <w:tc>
          <w:tcPr>
            <w:tcW w:w="8080" w:type="dxa"/>
            <w:shd w:val="clear" w:color="auto" w:fill="FBE0E3"/>
            <w:vAlign w:val="center"/>
          </w:tcPr>
          <w:p w14:paraId="3E429B0E" w14:textId="4896C9A1" w:rsidR="003C0600" w:rsidRPr="00224830" w:rsidRDefault="003C0600" w:rsidP="003C0600">
            <w:pPr>
              <w:pStyle w:val="QIDANParagraph"/>
              <w:spacing w:line="240" w:lineRule="auto"/>
              <w:rPr>
                <w:rFonts w:ascii="Nunito" w:hAnsi="Nunito"/>
                <w:b/>
                <w:bCs/>
                <w:color w:val="FFFFFF" w:themeColor="background1"/>
              </w:rPr>
            </w:pPr>
            <w:r>
              <w:rPr>
                <w:rFonts w:ascii="Nunito" w:hAnsi="Nunito"/>
              </w:rPr>
              <w:t>Youth Justice detention costs</w:t>
            </w:r>
          </w:p>
        </w:tc>
        <w:tc>
          <w:tcPr>
            <w:tcW w:w="1667" w:type="dxa"/>
            <w:shd w:val="clear" w:color="auto" w:fill="FBE0E3"/>
            <w:vAlign w:val="center"/>
          </w:tcPr>
          <w:p w14:paraId="1C43303F" w14:textId="79279E98" w:rsidR="003C0600" w:rsidRPr="00224830" w:rsidRDefault="003C0600" w:rsidP="003C0600">
            <w:pPr>
              <w:pStyle w:val="QIDANParagraph"/>
              <w:spacing w:line="240" w:lineRule="auto"/>
              <w:rPr>
                <w:rFonts w:ascii="Nunito" w:hAnsi="Nunito"/>
                <w:b/>
                <w:bCs/>
                <w:color w:val="FFFFFF" w:themeColor="background1"/>
              </w:rPr>
            </w:pPr>
            <w:r>
              <w:rPr>
                <w:rFonts w:ascii="Nunito" w:hAnsi="Nunito"/>
              </w:rPr>
              <w:t>$4.1-7.4m</w:t>
            </w:r>
          </w:p>
        </w:tc>
      </w:tr>
      <w:tr w:rsidR="003C0600" w14:paraId="4B899950" w14:textId="77777777" w:rsidTr="00EC1F0D">
        <w:tc>
          <w:tcPr>
            <w:tcW w:w="8080" w:type="dxa"/>
            <w:shd w:val="clear" w:color="auto" w:fill="FBE0E3"/>
            <w:vAlign w:val="center"/>
          </w:tcPr>
          <w:p w14:paraId="38BF7F65" w14:textId="3C46D5E1" w:rsidR="003C0600" w:rsidRDefault="003C0600" w:rsidP="003C0600">
            <w:pPr>
              <w:pStyle w:val="QIDANParagraph"/>
              <w:spacing w:line="240" w:lineRule="auto"/>
              <w:rPr>
                <w:rFonts w:ascii="Nunito" w:hAnsi="Nunito"/>
              </w:rPr>
            </w:pPr>
            <w:r>
              <w:rPr>
                <w:rFonts w:ascii="Nunito" w:hAnsi="Nunito"/>
              </w:rPr>
              <w:t>Youth Justice community-based supervision order costs</w:t>
            </w:r>
          </w:p>
        </w:tc>
        <w:tc>
          <w:tcPr>
            <w:tcW w:w="1667" w:type="dxa"/>
            <w:shd w:val="clear" w:color="auto" w:fill="FBE0E3"/>
            <w:vAlign w:val="center"/>
          </w:tcPr>
          <w:p w14:paraId="25871DA9" w14:textId="64B7D86C" w:rsidR="003C0600" w:rsidRDefault="003C0600" w:rsidP="003C0600">
            <w:pPr>
              <w:pStyle w:val="QIDANParagraph"/>
              <w:spacing w:line="240" w:lineRule="auto"/>
              <w:rPr>
                <w:rFonts w:ascii="Nunito" w:hAnsi="Nunito"/>
              </w:rPr>
            </w:pPr>
            <w:r>
              <w:rPr>
                <w:rFonts w:ascii="Nunito" w:hAnsi="Nunito"/>
              </w:rPr>
              <w:t>$1.4-2.6m</w:t>
            </w:r>
          </w:p>
        </w:tc>
      </w:tr>
      <w:tr w:rsidR="003C0600" w14:paraId="75F10577" w14:textId="77777777" w:rsidTr="00EC1F0D">
        <w:trPr>
          <w:trHeight w:val="558"/>
        </w:trPr>
        <w:tc>
          <w:tcPr>
            <w:tcW w:w="8080" w:type="dxa"/>
            <w:shd w:val="clear" w:color="auto" w:fill="690048"/>
            <w:vAlign w:val="center"/>
          </w:tcPr>
          <w:p w14:paraId="4FACEE24" w14:textId="3A6BAAEE" w:rsidR="003C0600" w:rsidRDefault="003C0600" w:rsidP="003C0600">
            <w:pPr>
              <w:pStyle w:val="QIDANParagraph"/>
              <w:spacing w:line="240" w:lineRule="auto"/>
              <w:rPr>
                <w:rFonts w:ascii="Nunito" w:hAnsi="Nunito"/>
              </w:rPr>
            </w:pPr>
            <w:r w:rsidRPr="00224830">
              <w:rPr>
                <w:rFonts w:ascii="Nunito" w:hAnsi="Nunito"/>
                <w:b/>
                <w:bCs/>
                <w:color w:val="FFFFFF" w:themeColor="background1"/>
              </w:rPr>
              <w:lastRenderedPageBreak/>
              <w:t>Long term impact (per year)</w:t>
            </w:r>
          </w:p>
        </w:tc>
        <w:tc>
          <w:tcPr>
            <w:tcW w:w="1667" w:type="dxa"/>
            <w:shd w:val="clear" w:color="auto" w:fill="690048"/>
            <w:vAlign w:val="center"/>
          </w:tcPr>
          <w:p w14:paraId="3838CBD9" w14:textId="41607E33" w:rsidR="003C0600" w:rsidRDefault="003C0600" w:rsidP="003C0600">
            <w:pPr>
              <w:pStyle w:val="QIDANParagraph"/>
              <w:spacing w:line="240" w:lineRule="auto"/>
              <w:rPr>
                <w:rFonts w:ascii="Nunito" w:hAnsi="Nunito"/>
              </w:rPr>
            </w:pPr>
            <w:r w:rsidRPr="00224830">
              <w:rPr>
                <w:rFonts w:ascii="Nunito" w:hAnsi="Nunito"/>
                <w:b/>
                <w:bCs/>
                <w:color w:val="FFFFFF" w:themeColor="background1"/>
              </w:rPr>
              <w:t>Cost</w:t>
            </w:r>
          </w:p>
        </w:tc>
      </w:tr>
      <w:tr w:rsidR="003C0600" w14:paraId="1D68B5F0" w14:textId="77777777" w:rsidTr="00EC1F0D">
        <w:tc>
          <w:tcPr>
            <w:tcW w:w="8080" w:type="dxa"/>
            <w:shd w:val="clear" w:color="auto" w:fill="FBE0E3"/>
            <w:vAlign w:val="center"/>
          </w:tcPr>
          <w:p w14:paraId="403C4196" w14:textId="551867EA" w:rsidR="003C0600" w:rsidRPr="00224830" w:rsidRDefault="003C0600" w:rsidP="003C0600">
            <w:pPr>
              <w:pStyle w:val="QIDANParagraph"/>
              <w:spacing w:line="240" w:lineRule="auto"/>
              <w:rPr>
                <w:rFonts w:ascii="Nunito" w:hAnsi="Nunito"/>
                <w:b/>
                <w:bCs/>
                <w:color w:val="FFFFFF" w:themeColor="background1"/>
              </w:rPr>
            </w:pPr>
            <w:r>
              <w:rPr>
                <w:rFonts w:ascii="Nunito" w:hAnsi="Nunito"/>
              </w:rPr>
              <w:t>Average annual income gap for suspended students with disability who do not complete Year 12 (per person)</w:t>
            </w:r>
          </w:p>
        </w:tc>
        <w:tc>
          <w:tcPr>
            <w:tcW w:w="1667" w:type="dxa"/>
            <w:shd w:val="clear" w:color="auto" w:fill="FBE0E3"/>
            <w:vAlign w:val="center"/>
          </w:tcPr>
          <w:p w14:paraId="62ACE20B" w14:textId="64308FC0" w:rsidR="003C0600" w:rsidRPr="00224830" w:rsidRDefault="003C0600" w:rsidP="003C0600">
            <w:pPr>
              <w:pStyle w:val="QIDANParagraph"/>
              <w:spacing w:line="240" w:lineRule="auto"/>
              <w:rPr>
                <w:rFonts w:ascii="Nunito" w:hAnsi="Nunito"/>
                <w:b/>
                <w:bCs/>
                <w:color w:val="FFFFFF" w:themeColor="background1"/>
              </w:rPr>
            </w:pPr>
            <w:r>
              <w:rPr>
                <w:rFonts w:ascii="Nunito" w:hAnsi="Nunito"/>
              </w:rPr>
              <w:t>$14,105</w:t>
            </w:r>
          </w:p>
        </w:tc>
      </w:tr>
      <w:tr w:rsidR="003C0600" w14:paraId="2D6FFC68" w14:textId="77777777" w:rsidTr="00EC1F0D">
        <w:tc>
          <w:tcPr>
            <w:tcW w:w="8080" w:type="dxa"/>
            <w:shd w:val="clear" w:color="auto" w:fill="FBE0E3"/>
            <w:vAlign w:val="center"/>
          </w:tcPr>
          <w:p w14:paraId="7A6F4067" w14:textId="3C32FFBE" w:rsidR="003C0600" w:rsidRDefault="003C0600" w:rsidP="003C0600">
            <w:pPr>
              <w:pStyle w:val="QIDANParagraph"/>
              <w:spacing w:line="240" w:lineRule="auto"/>
              <w:rPr>
                <w:rFonts w:ascii="Nunito" w:hAnsi="Nunito"/>
              </w:rPr>
            </w:pPr>
            <w:r>
              <w:rPr>
                <w:rFonts w:ascii="Nunito" w:hAnsi="Nunito"/>
              </w:rPr>
              <w:t>Average annual income gap for all students with disability and suspensions who do not complete Year 12</w:t>
            </w:r>
          </w:p>
        </w:tc>
        <w:tc>
          <w:tcPr>
            <w:tcW w:w="1667" w:type="dxa"/>
            <w:shd w:val="clear" w:color="auto" w:fill="FBE0E3"/>
            <w:vAlign w:val="center"/>
          </w:tcPr>
          <w:p w14:paraId="19069ADE" w14:textId="749D7D91" w:rsidR="003C0600" w:rsidRDefault="003C0600" w:rsidP="003C0600">
            <w:pPr>
              <w:pStyle w:val="QIDANParagraph"/>
              <w:spacing w:line="240" w:lineRule="auto"/>
              <w:rPr>
                <w:rFonts w:ascii="Nunito" w:hAnsi="Nunito"/>
              </w:rPr>
            </w:pPr>
            <w:r>
              <w:rPr>
                <w:rFonts w:ascii="Nunito" w:hAnsi="Nunito"/>
              </w:rPr>
              <w:t>$41.1m</w:t>
            </w:r>
          </w:p>
        </w:tc>
      </w:tr>
    </w:tbl>
    <w:p w14:paraId="40B1A71C" w14:textId="3D7768FE" w:rsidR="00BC0EB5" w:rsidRDefault="00591950" w:rsidP="000661CC">
      <w:pPr>
        <w:pStyle w:val="QIDANParagraph"/>
        <w:spacing w:before="120"/>
      </w:pPr>
      <w:r>
        <w:t>The above are the economic costs alone</w:t>
      </w:r>
      <w:r w:rsidR="009C4595">
        <w:t>. I</w:t>
      </w:r>
      <w:r>
        <w:t xml:space="preserve">f added to </w:t>
      </w:r>
      <w:r w:rsidR="00513FCF">
        <w:t>other impacts and non-quantified impacts</w:t>
      </w:r>
      <w:r w:rsidR="00771CA8">
        <w:t xml:space="preserve"> (such as </w:t>
      </w:r>
      <w:r w:rsidR="00E0736E">
        <w:t>mental health, life satisfaction and wellbeing</w:t>
      </w:r>
      <w:r w:rsidR="009C4595">
        <w:t>,</w:t>
      </w:r>
      <w:r w:rsidR="004B7070">
        <w:t xml:space="preserve"> and increased income support reliance)</w:t>
      </w:r>
      <w:r w:rsidR="00513FCF">
        <w:t xml:space="preserve">, </w:t>
      </w:r>
      <w:r w:rsidR="009C4595">
        <w:t xml:space="preserve">it all </w:t>
      </w:r>
      <w:r w:rsidR="00513FCF">
        <w:t>result</w:t>
      </w:r>
      <w:r w:rsidR="009C4595">
        <w:t>s</w:t>
      </w:r>
      <w:r w:rsidR="00513FCF">
        <w:t xml:space="preserve"> in </w:t>
      </w:r>
      <w:r w:rsidR="00C86C2B">
        <w:t xml:space="preserve">a costly discriminatory system that denies children with disability their right to learn. </w:t>
      </w:r>
    </w:p>
    <w:p w14:paraId="3BCD9CAA" w14:textId="17733FE5" w:rsidR="00E44BCE" w:rsidRPr="00E44BCE" w:rsidRDefault="4E0289B1" w:rsidP="00E44BCE">
      <w:pPr>
        <w:pStyle w:val="QIDANParagraph"/>
      </w:pPr>
      <w:r>
        <w:t>T</w:t>
      </w:r>
      <w:r w:rsidR="00D524BF">
        <w:t xml:space="preserve">he Building Belonging report </w:t>
      </w:r>
      <w:r w:rsidR="62A236F5">
        <w:t xml:space="preserve">highlights </w:t>
      </w:r>
      <w:r w:rsidR="00E44BCE" w:rsidRPr="00E44BCE">
        <w:t>the financial costs of discrimination. One submission stated “</w:t>
      </w:r>
      <w:r w:rsidR="048BFC45" w:rsidRPr="00E44BCE">
        <w:t>[it]</w:t>
      </w:r>
      <w:r w:rsidR="003B7905">
        <w:t xml:space="preserve"> </w:t>
      </w:r>
      <w:r w:rsidR="00E44BCE" w:rsidRPr="00E44BCE">
        <w:t>is causing me a great deal of stress, and I worry about my financial future and not being able to provide for my child”.</w:t>
      </w:r>
      <w:r w:rsidR="00360B58" w:rsidRPr="00E44BCE">
        <w:rPr>
          <w:vertAlign w:val="superscript"/>
        </w:rPr>
        <w:footnoteReference w:id="10"/>
      </w:r>
      <w:r w:rsidR="00E44BCE" w:rsidRPr="00E44BCE">
        <w:t xml:space="preserve"> Deloitte research found that, in 2018, lost wellbeing due to discrimination cost, on average, $5000 per victim.</w:t>
      </w:r>
      <w:r w:rsidR="00360B58" w:rsidRPr="00E44BCE">
        <w:rPr>
          <w:vertAlign w:val="superscript"/>
        </w:rPr>
        <w:footnoteReference w:id="11"/>
      </w:r>
      <w:r w:rsidR="00E44BCE" w:rsidRPr="00E44BCE">
        <w:t xml:space="preserve"> Legal Aid Queensland outlines that their services – preparing and lodging a discrimination complaint, conciliation conferences, and any hearing attendance - can cost up to $4650 for a complaint case.</w:t>
      </w:r>
      <w:r w:rsidR="00360B58" w:rsidRPr="00E44BCE">
        <w:rPr>
          <w:vertAlign w:val="superscript"/>
        </w:rPr>
        <w:footnoteReference w:id="12"/>
      </w:r>
      <w:r w:rsidR="00E44BCE" w:rsidRPr="00E44BCE">
        <w:t xml:space="preserve"> This highlights the mental and financial strain that pursuing a discrimination claim through the Commission and Tribunal can have on a person with disability and relevant bodies. The </w:t>
      </w:r>
      <w:r w:rsidR="00982EB0">
        <w:t xml:space="preserve">current </w:t>
      </w:r>
      <w:r w:rsidR="00E44BCE" w:rsidRPr="00E44BCE">
        <w:t>legal tests for discrimination also disempower some individuals from speaking out, as the need for a hypothetical comparator of a person in similar circumstances is technically challenging and confusing.</w:t>
      </w:r>
      <w:r w:rsidR="00E44BCE" w:rsidRPr="00E44BCE">
        <w:rPr>
          <w:vertAlign w:val="superscript"/>
        </w:rPr>
        <w:footnoteReference w:id="13"/>
      </w:r>
      <w:r w:rsidR="00E44BCE" w:rsidRPr="00E44BCE">
        <w:t xml:space="preserve"> If the system relies on individuals to report discrimination as it occurs, but individuals do not report discrimination due to these barriers, the anti-discrimination system is failing. </w:t>
      </w:r>
    </w:p>
    <w:p w14:paraId="52041448" w14:textId="426B7200" w:rsidR="005717A1" w:rsidRDefault="007F2895" w:rsidP="00EF4789">
      <w:pPr>
        <w:pStyle w:val="QIDANParagraph"/>
      </w:pPr>
      <w:r>
        <w:t xml:space="preserve">Current discriminatory systems are not necessarily cheaper or more effective. </w:t>
      </w:r>
      <w:r w:rsidR="00A8185D">
        <w:t xml:space="preserve">If </w:t>
      </w:r>
      <w:r w:rsidR="008C15AB">
        <w:t>the</w:t>
      </w:r>
      <w:r w:rsidR="00036432">
        <w:t xml:space="preserve"> financial</w:t>
      </w:r>
      <w:r w:rsidR="008C15AB">
        <w:t xml:space="preserve"> resources above</w:t>
      </w:r>
      <w:r w:rsidR="00036432">
        <w:t xml:space="preserve"> mentioned</w:t>
      </w:r>
      <w:r w:rsidR="008C15AB">
        <w:t xml:space="preserve"> were </w:t>
      </w:r>
      <w:r w:rsidR="00036432">
        <w:t>invested in</w:t>
      </w:r>
      <w:r w:rsidR="008C15AB">
        <w:t xml:space="preserve"> an effective positive duty</w:t>
      </w:r>
      <w:r w:rsidR="00284B1C">
        <w:t xml:space="preserve">, we would be investing in the futures of our children and in making our schools and communities </w:t>
      </w:r>
      <w:r w:rsidR="00284B1C">
        <w:lastRenderedPageBreak/>
        <w:t>more inclusive.</w:t>
      </w:r>
      <w:r>
        <w:t xml:space="preserve"> Schools and other systems like health and the employment sector must be </w:t>
      </w:r>
      <w:r w:rsidR="00FD7728">
        <w:t>resourced properly</w:t>
      </w:r>
      <w:r w:rsidR="00874EA9">
        <w:t xml:space="preserve"> </w:t>
      </w:r>
      <w:r w:rsidR="00D77626">
        <w:t>to perform their positive duties.</w:t>
      </w:r>
    </w:p>
    <w:p w14:paraId="4AF5745D" w14:textId="72D2B304" w:rsidR="008F31BF" w:rsidRDefault="00A73506" w:rsidP="00257649">
      <w:pPr>
        <w:pStyle w:val="QIDANParagraph"/>
        <w:spacing w:after="240"/>
      </w:pPr>
      <w:r>
        <w:t xml:space="preserve">It is no longer a question of whether we can afford </w:t>
      </w:r>
      <w:r w:rsidR="009B4154">
        <w:t>positive duties, it is whether we can afford not to have them.</w:t>
      </w:r>
      <w:r w:rsidR="00257649">
        <w:t xml:space="preserve"> </w:t>
      </w:r>
      <w:r w:rsidR="00B739C2">
        <w:t>Therefore, w</w:t>
      </w:r>
      <w:r w:rsidR="008E31DC">
        <w:t>e</w:t>
      </w:r>
      <w:r w:rsidR="00E91283">
        <w:t xml:space="preserve"> fully support the DRC recommendation 4.27</w:t>
      </w:r>
      <w:r w:rsidR="00264C6E">
        <w:t xml:space="preserve"> to introduce a positive duty on all duty-holders under the DDA. </w:t>
      </w:r>
    </w:p>
    <w:p w14:paraId="1683AF43" w14:textId="47C69811" w:rsidR="008F31BF" w:rsidRPr="008F31BF" w:rsidRDefault="008F31BF" w:rsidP="008F31BF">
      <w:pPr>
        <w:spacing w:line="360" w:lineRule="auto"/>
        <w:rPr>
          <w:rFonts w:ascii="Nunito Sans" w:hAnsi="Nunito Sans"/>
          <w:b/>
          <w:bCs/>
          <w:color w:val="690048"/>
        </w:rPr>
      </w:pPr>
      <w:r>
        <w:rPr>
          <w:rFonts w:ascii="Nunito Sans" w:hAnsi="Nunito Sans"/>
          <w:b/>
          <w:bCs/>
          <w:color w:val="690048"/>
        </w:rPr>
        <w:t>Make t</w:t>
      </w:r>
      <w:r w:rsidRPr="008F31BF">
        <w:rPr>
          <w:rFonts w:ascii="Nunito Sans" w:hAnsi="Nunito Sans"/>
          <w:b/>
          <w:bCs/>
          <w:color w:val="690048"/>
        </w:rPr>
        <w:t xml:space="preserve">he positive duty </w:t>
      </w:r>
      <w:r>
        <w:rPr>
          <w:rFonts w:ascii="Nunito Sans" w:hAnsi="Nunito Sans"/>
          <w:b/>
          <w:bCs/>
          <w:color w:val="690048"/>
        </w:rPr>
        <w:t>practical</w:t>
      </w:r>
      <w:r w:rsidR="0057569E">
        <w:rPr>
          <w:rFonts w:ascii="Nunito Sans" w:hAnsi="Nunito Sans"/>
          <w:b/>
          <w:bCs/>
          <w:color w:val="690048"/>
        </w:rPr>
        <w:t>, with no blanket exemptions</w:t>
      </w:r>
    </w:p>
    <w:p w14:paraId="54E76558" w14:textId="63C9A1E8" w:rsidR="008F31BF" w:rsidRPr="008F31BF" w:rsidRDefault="008F31BF" w:rsidP="008F31BF">
      <w:pPr>
        <w:pStyle w:val="QIDANParagraph"/>
      </w:pPr>
      <w:r w:rsidRPr="008F31BF">
        <w:t>For it to be effective, a positive duty must be explained through clear legislation and examples of how it would work in everyday life.</w:t>
      </w:r>
      <w:r w:rsidRPr="008F31BF">
        <w:rPr>
          <w:vertAlign w:val="superscript"/>
        </w:rPr>
        <w:footnoteReference w:id="14"/>
      </w:r>
      <w:r w:rsidRPr="008F31BF">
        <w:t xml:space="preserve"> In practice, an organisation could implement a positive duty by understanding the core principles of the</w:t>
      </w:r>
      <w:r w:rsidR="00D63245">
        <w:t xml:space="preserve"> DDA</w:t>
      </w:r>
      <w:r w:rsidRPr="008F31BF">
        <w:t>, implementing forms of anti-discrimination, pro-inclusion training, completing a review of internal complaints and procedures, and evaluating any subsequent systemic issues that arise.</w:t>
      </w:r>
    </w:p>
    <w:p w14:paraId="4C27D029" w14:textId="798B196C" w:rsidR="008F31BF" w:rsidRPr="008F31BF" w:rsidRDefault="008F31BF" w:rsidP="008F31BF">
      <w:pPr>
        <w:pStyle w:val="QIDANParagraph"/>
      </w:pPr>
      <w:r w:rsidRPr="008F31BF">
        <w:t>The Building Belonging report identified that many organisations want to ‘do the right thing’ as a duty holder but lack the knowledge on how to do so.</w:t>
      </w:r>
      <w:r w:rsidRPr="008F31BF">
        <w:rPr>
          <w:vertAlign w:val="superscript"/>
        </w:rPr>
        <w:footnoteReference w:id="15"/>
      </w:r>
      <w:r w:rsidRPr="008F31BF">
        <w:t xml:space="preserve"> This is why, firstly, the duty holder must be clearly identified. </w:t>
      </w:r>
      <w:r w:rsidR="00AC6BC1">
        <w:t>In Queensland, t</w:t>
      </w:r>
      <w:r w:rsidRPr="008F31BF">
        <w:t>he QHRC recommends that the positive duty should be applied to anyone who has a legal obligation under the ADA, like employers, public sector organisations, and educational institutions.</w:t>
      </w:r>
      <w:r w:rsidRPr="008F31BF">
        <w:rPr>
          <w:vertAlign w:val="superscript"/>
        </w:rPr>
        <w:footnoteReference w:id="16"/>
      </w:r>
    </w:p>
    <w:p w14:paraId="2E69A404" w14:textId="789D9701" w:rsidR="008F31BF" w:rsidRPr="008F31BF" w:rsidRDefault="008F31BF" w:rsidP="008F31BF">
      <w:pPr>
        <w:pStyle w:val="QIDANParagraph"/>
      </w:pPr>
      <w:r w:rsidRPr="008F31BF">
        <w:t xml:space="preserve">The Victorian Equal Opportunity and Human Rights Commission (VEOHRC) provides a useful framework for how duty holders implement the positive duty that exists in Victorian legislation, in their </w:t>
      </w:r>
      <w:r w:rsidRPr="008F31BF">
        <w:rPr>
          <w:i/>
          <w:iCs/>
        </w:rPr>
        <w:t>Equal Opportunity Act 2010.</w:t>
      </w:r>
      <w:r w:rsidR="00196EF4">
        <w:rPr>
          <w:i/>
          <w:iCs/>
        </w:rPr>
        <w:t xml:space="preserve"> </w:t>
      </w:r>
      <w:r w:rsidRPr="008F31BF">
        <w:t>The VEOHRC provides clear and concise, context-specific examples for different types of organisations, educational institutions, government bodies, applicable to all levels of duty holders.</w:t>
      </w:r>
      <w:r w:rsidRPr="008F31BF">
        <w:rPr>
          <w:vertAlign w:val="superscript"/>
        </w:rPr>
        <w:footnoteReference w:id="17"/>
      </w:r>
      <w:r w:rsidRPr="008F31BF">
        <w:t xml:space="preserve"> By outlining clear steps with real examples of how the </w:t>
      </w:r>
      <w:r w:rsidR="006816BE">
        <w:t>positive duty works</w:t>
      </w:r>
      <w:r w:rsidRPr="008F31BF">
        <w:t xml:space="preserve">, duty holders are not only more likely to comply and confidently uphold their duty, but people with disability can become aware of exactly what is expected of duty holders when implementing the positive duty. </w:t>
      </w:r>
    </w:p>
    <w:p w14:paraId="25C5EF3E" w14:textId="77777777" w:rsidR="008F31BF" w:rsidRPr="008F31BF" w:rsidRDefault="008F31BF" w:rsidP="008F31BF">
      <w:pPr>
        <w:pStyle w:val="QIDANParagraph"/>
      </w:pPr>
      <w:r w:rsidRPr="008F31BF">
        <w:lastRenderedPageBreak/>
        <w:t>Each of the following example measures are proportionate to the size and resources of the duty holder, as listed by the Victorian Commission:</w:t>
      </w:r>
      <w:r w:rsidRPr="008F31BF">
        <w:rPr>
          <w:vertAlign w:val="superscript"/>
        </w:rPr>
        <w:footnoteReference w:id="18"/>
      </w:r>
    </w:p>
    <w:p w14:paraId="3577E36F" w14:textId="77777777" w:rsidR="008F31BF" w:rsidRPr="008F31BF" w:rsidRDefault="008F31BF" w:rsidP="00111DD3">
      <w:pPr>
        <w:pStyle w:val="QIDANParagraph"/>
        <w:numPr>
          <w:ilvl w:val="0"/>
          <w:numId w:val="11"/>
        </w:numPr>
        <w:ind w:left="567" w:hanging="283"/>
      </w:pPr>
      <w:r w:rsidRPr="008F31BF">
        <w:t xml:space="preserve">For a small business like a local not-for-profit organisation, they create a plan for meeting their duty by engaging a more diverse recruitment strategy. </w:t>
      </w:r>
    </w:p>
    <w:p w14:paraId="535CDEDB" w14:textId="77777777" w:rsidR="008F31BF" w:rsidRPr="008F31BF" w:rsidRDefault="008F31BF" w:rsidP="00111DD3">
      <w:pPr>
        <w:pStyle w:val="QIDANParagraph"/>
        <w:numPr>
          <w:ilvl w:val="0"/>
          <w:numId w:val="11"/>
        </w:numPr>
        <w:ind w:left="567" w:hanging="283"/>
      </w:pPr>
      <w:r w:rsidRPr="008F31BF">
        <w:t xml:space="preserve">For a large business, like a fashion marketing company, the HR manager conducts an audit into their operating procedures and changes any outdated policies. </w:t>
      </w:r>
    </w:p>
    <w:p w14:paraId="2CDE66FA" w14:textId="7DF44C15" w:rsidR="008F31BF" w:rsidRPr="008F31BF" w:rsidRDefault="008F31BF" w:rsidP="00111DD3">
      <w:pPr>
        <w:pStyle w:val="QIDANParagraph"/>
        <w:numPr>
          <w:ilvl w:val="0"/>
          <w:numId w:val="11"/>
        </w:numPr>
        <w:ind w:left="567" w:hanging="283"/>
      </w:pPr>
      <w:r w:rsidRPr="008F31BF">
        <w:t xml:space="preserve">For a sports club, they develop an advertisement strategy to encourage members with a disability to join and apply for funding to ensure their facilities are accessible. </w:t>
      </w:r>
    </w:p>
    <w:p w14:paraId="6B21627A" w14:textId="536CB095" w:rsidR="008F31BF" w:rsidRPr="008F31BF" w:rsidRDefault="00172ADF" w:rsidP="008F31BF">
      <w:pPr>
        <w:pStyle w:val="QIDANParagraph"/>
      </w:pPr>
      <w:r>
        <w:t>T</w:t>
      </w:r>
      <w:r w:rsidR="008F31BF" w:rsidRPr="008F31BF">
        <w:t>o ensure that the positive duty encourages better inclusion, equality and awareness, it should not adopt a strictly punitive approach, or it will risk returning to the negative compliance approach reinforced by the current reactive anti-discrimination legislative system.</w:t>
      </w:r>
      <w:r w:rsidR="008F31BF" w:rsidRPr="008F31BF">
        <w:rPr>
          <w:vertAlign w:val="superscript"/>
        </w:rPr>
        <w:footnoteReference w:id="19"/>
      </w:r>
      <w:r w:rsidR="008F31BF" w:rsidRPr="008F31BF">
        <w:t xml:space="preserve"> </w:t>
      </w:r>
      <w:r w:rsidR="00A86D26">
        <w:t xml:space="preserve">Instead, it should reward </w:t>
      </w:r>
      <w:r w:rsidR="00692F79">
        <w:t>compliance with positive duty obligatio</w:t>
      </w:r>
      <w:r w:rsidR="00311B1F">
        <w:t xml:space="preserve">ns and progress towards inclusion, equality and awareness. </w:t>
      </w:r>
    </w:p>
    <w:p w14:paraId="7ACBE478" w14:textId="656CD628" w:rsidR="008F31BF" w:rsidRPr="008F31BF" w:rsidRDefault="008F31BF" w:rsidP="008F31BF">
      <w:pPr>
        <w:pStyle w:val="QIDANParagraph"/>
      </w:pPr>
      <w:r w:rsidRPr="008F31BF">
        <w:t>Nonetheless, the positive duty must have a regulatory body and effective enforcement mechanism to ensure non-compliance with the positive duty is addressed</w:t>
      </w:r>
      <w:r w:rsidR="00B93700">
        <w:t xml:space="preserve">, and </w:t>
      </w:r>
      <w:r w:rsidR="001303DB">
        <w:t xml:space="preserve">the </w:t>
      </w:r>
      <w:r w:rsidR="00B93700">
        <w:t xml:space="preserve">AHRC </w:t>
      </w:r>
      <w:r w:rsidRPr="008F31BF">
        <w:t>is most qualified to adopt this regulatory position, as it does not differ greatly to their current role in reviewing discrimination complaints.</w:t>
      </w:r>
    </w:p>
    <w:p w14:paraId="33130F51" w14:textId="0DF7AB11" w:rsidR="006816BE" w:rsidRDefault="00C55A9C" w:rsidP="008F31BF">
      <w:pPr>
        <w:pStyle w:val="QIDANParagraph"/>
      </w:pPr>
      <w:r>
        <w:t xml:space="preserve">The </w:t>
      </w:r>
      <w:r w:rsidR="008F31BF" w:rsidRPr="008F31BF">
        <w:t>enforcement of positive duties is legally challenging when the mechanism relies on traditional judicial enforcement.</w:t>
      </w:r>
      <w:r w:rsidR="008F31BF" w:rsidRPr="008F31BF">
        <w:rPr>
          <w:vertAlign w:val="superscript"/>
        </w:rPr>
        <w:footnoteReference w:id="20"/>
      </w:r>
      <w:r w:rsidR="008F31BF" w:rsidRPr="008F31BF">
        <w:t xml:space="preserve"> Positive duties thus operate as a driver of cultural change, rather than solely a new form of enforceable legal rights. By allowing the </w:t>
      </w:r>
      <w:r w:rsidR="00323E5F">
        <w:t>AHRC</w:t>
      </w:r>
      <w:r w:rsidR="008F31BF" w:rsidRPr="008F31BF">
        <w:t xml:space="preserve"> to be the regulatory enforcement body of the positive duty, this would ensure that the mechanism is implemented by those with expertise in disability rights and those </w:t>
      </w:r>
      <w:r w:rsidR="006816BE">
        <w:t>c</w:t>
      </w:r>
      <w:r w:rsidR="008F31BF" w:rsidRPr="008F31BF">
        <w:t>ommitted to protecting them</w:t>
      </w:r>
      <w:r w:rsidR="008F31BF" w:rsidRPr="008F31BF">
        <w:rPr>
          <w:vertAlign w:val="superscript"/>
        </w:rPr>
        <w:footnoteReference w:id="21"/>
      </w:r>
      <w:r w:rsidR="008F31BF" w:rsidRPr="008F31BF">
        <w:t>, enabling the positive duty to be both a legal requirement and a catalyst to social change.</w:t>
      </w:r>
    </w:p>
    <w:p w14:paraId="6BED2F6E" w14:textId="74FF2717" w:rsidR="00546D8E" w:rsidRPr="00546D8E" w:rsidRDefault="00175296" w:rsidP="00546D8E">
      <w:pPr>
        <w:pStyle w:val="QIDANParagraph"/>
      </w:pPr>
      <w:r>
        <w:lastRenderedPageBreak/>
        <w:t>T</w:t>
      </w:r>
      <w:r w:rsidR="00546D8E" w:rsidRPr="00546D8E">
        <w:t xml:space="preserve">here should be exceptions or limits to the application of a positive duty, but only to the extent necessary to ensure proportionality and fairness, and care must be taken to ensure they cannot undermine the purpose of the duty. </w:t>
      </w:r>
    </w:p>
    <w:p w14:paraId="054189F6" w14:textId="3162782E" w:rsidR="00546D8E" w:rsidRPr="00546D8E" w:rsidRDefault="00546D8E" w:rsidP="00546D8E">
      <w:pPr>
        <w:pStyle w:val="QIDANParagraph"/>
      </w:pPr>
      <w:r w:rsidRPr="00546D8E">
        <w:t xml:space="preserve">A positive duty in the DDA should be contextual and flexible, </w:t>
      </w:r>
      <w:r w:rsidR="2F97642C" w:rsidRPr="00546D8E">
        <w:t>considering</w:t>
      </w:r>
      <w:r w:rsidRPr="00546D8E">
        <w:t xml:space="preserve"> the size, nature, and resources of the duty-holder, the practicability and cost of compliance measures, and any competing legal obligations. These factors are already embedded in the </w:t>
      </w:r>
      <w:r w:rsidRPr="00546D8E">
        <w:rPr>
          <w:i/>
          <w:iCs/>
        </w:rPr>
        <w:t>S</w:t>
      </w:r>
      <w:r w:rsidR="004851DB" w:rsidRPr="004851DB">
        <w:rPr>
          <w:i/>
          <w:iCs/>
        </w:rPr>
        <w:t xml:space="preserve">ex </w:t>
      </w:r>
      <w:r w:rsidRPr="00546D8E">
        <w:rPr>
          <w:i/>
          <w:iCs/>
        </w:rPr>
        <w:t>D</w:t>
      </w:r>
      <w:r w:rsidR="004851DB" w:rsidRPr="004851DB">
        <w:rPr>
          <w:i/>
          <w:iCs/>
        </w:rPr>
        <w:t xml:space="preserve">iscrimination </w:t>
      </w:r>
      <w:r w:rsidRPr="00546D8E">
        <w:rPr>
          <w:i/>
          <w:iCs/>
        </w:rPr>
        <w:t>A</w:t>
      </w:r>
      <w:r w:rsidR="004851DB" w:rsidRPr="004851DB">
        <w:rPr>
          <w:i/>
          <w:iCs/>
        </w:rPr>
        <w:t>ct</w:t>
      </w:r>
      <w:r w:rsidRPr="00546D8E">
        <w:rPr>
          <w:vertAlign w:val="superscript"/>
        </w:rPr>
        <w:footnoteReference w:id="22"/>
      </w:r>
      <w:r w:rsidRPr="00546D8E">
        <w:t xml:space="preserve"> and the ACT</w:t>
      </w:r>
      <w:r w:rsidRPr="00546D8E">
        <w:rPr>
          <w:vertAlign w:val="superscript"/>
        </w:rPr>
        <w:footnoteReference w:id="23"/>
      </w:r>
      <w:r w:rsidRPr="00546D8E">
        <w:t xml:space="preserve"> and Victorian</w:t>
      </w:r>
      <w:r w:rsidRPr="00546D8E">
        <w:rPr>
          <w:vertAlign w:val="superscript"/>
        </w:rPr>
        <w:footnoteReference w:id="24"/>
      </w:r>
      <w:r w:rsidRPr="00546D8E">
        <w:t xml:space="preserve"> </w:t>
      </w:r>
      <w:r w:rsidR="004851DB" w:rsidRPr="00546D8E">
        <w:t>models and</w:t>
      </w:r>
      <w:r w:rsidRPr="00546D8E">
        <w:t xml:space="preserve"> should be replicated in the DDA to ensure consistency and legal certainty.</w:t>
      </w:r>
    </w:p>
    <w:p w14:paraId="3E565758" w14:textId="77777777" w:rsidR="00546D8E" w:rsidRPr="00546D8E" w:rsidRDefault="00546D8E" w:rsidP="00546D8E">
      <w:pPr>
        <w:pStyle w:val="QIDANParagraph"/>
      </w:pPr>
      <w:r w:rsidRPr="00546D8E">
        <w:t>Any exceptions should be framed carefully as part of a proportionality assessment, rather than as blanket exemptions. This is crucial for the duty to constitute a robust mechanism for driving systemic change.</w:t>
      </w:r>
    </w:p>
    <w:p w14:paraId="574C53DA" w14:textId="72C0CBB6" w:rsidR="005D197B" w:rsidRPr="00E2453E" w:rsidRDefault="00E2453E" w:rsidP="005D197B">
      <w:pPr>
        <w:pStyle w:val="Heading1"/>
        <w:rPr>
          <w:rFonts w:ascii="Nunito Sans" w:hAnsi="Nunito Sans" w:cs="Poppins SemiBold"/>
          <w:b/>
          <w:bCs/>
          <w:color w:val="690048"/>
          <w:sz w:val="28"/>
          <w:szCs w:val="28"/>
        </w:rPr>
      </w:pPr>
      <w:bookmarkStart w:id="6" w:name="_Toc212816948"/>
      <w:r>
        <w:rPr>
          <w:rFonts w:ascii="Nunito Sans" w:hAnsi="Nunito Sans" w:cs="Poppins SemiBold"/>
          <w:b/>
          <w:bCs/>
          <w:color w:val="690048"/>
          <w:sz w:val="28"/>
          <w:szCs w:val="28"/>
        </w:rPr>
        <w:t xml:space="preserve">Inclusion benefits everyone and </w:t>
      </w:r>
      <w:r w:rsidR="002E5D07">
        <w:rPr>
          <w:rFonts w:ascii="Nunito Sans" w:hAnsi="Nunito Sans" w:cs="Poppins SemiBold"/>
          <w:b/>
          <w:bCs/>
          <w:color w:val="690048"/>
          <w:sz w:val="28"/>
          <w:szCs w:val="28"/>
        </w:rPr>
        <w:t>disadvantages no one</w:t>
      </w:r>
      <w:bookmarkEnd w:id="6"/>
    </w:p>
    <w:p w14:paraId="5ED111B9" w14:textId="38B04C58" w:rsidR="00482E93" w:rsidRDefault="00941123" w:rsidP="00A34E2C">
      <w:pPr>
        <w:pStyle w:val="QIDANParagraph"/>
      </w:pPr>
      <w:r>
        <w:t>This section covers questions 16-26.</w:t>
      </w:r>
    </w:p>
    <w:p w14:paraId="71766D2D" w14:textId="77777777" w:rsidR="0057569E" w:rsidRDefault="0057569E" w:rsidP="00482E93">
      <w:pPr>
        <w:rPr>
          <w:b/>
          <w:bCs/>
          <w:color w:val="690048"/>
        </w:rPr>
      </w:pPr>
    </w:p>
    <w:p w14:paraId="7D1CF251" w14:textId="3FFC08BA" w:rsidR="00482E93" w:rsidRPr="004A4B65" w:rsidRDefault="00482E93" w:rsidP="004A4B65">
      <w:pPr>
        <w:spacing w:line="360" w:lineRule="auto"/>
        <w:rPr>
          <w:rFonts w:ascii="Nunito Sans" w:hAnsi="Nunito Sans"/>
          <w:b/>
          <w:bCs/>
          <w:color w:val="690048"/>
        </w:rPr>
      </w:pPr>
      <w:r w:rsidRPr="004A4B65">
        <w:rPr>
          <w:rFonts w:ascii="Nunito Sans" w:hAnsi="Nunito Sans"/>
          <w:b/>
          <w:bCs/>
          <w:color w:val="690048"/>
        </w:rPr>
        <w:t xml:space="preserve">Standalone duty to </w:t>
      </w:r>
      <w:proofErr w:type="gramStart"/>
      <w:r w:rsidRPr="004A4B65">
        <w:rPr>
          <w:rFonts w:ascii="Nunito Sans" w:hAnsi="Nunito Sans"/>
          <w:b/>
          <w:bCs/>
          <w:color w:val="690048"/>
        </w:rPr>
        <w:t>make adjustments</w:t>
      </w:r>
      <w:proofErr w:type="gramEnd"/>
    </w:p>
    <w:p w14:paraId="4FB5B582" w14:textId="08462A91" w:rsidR="00DD1250" w:rsidRDefault="006A123D" w:rsidP="004A4B65">
      <w:pPr>
        <w:spacing w:line="360" w:lineRule="auto"/>
        <w:rPr>
          <w:rFonts w:ascii="Nunito Sans" w:hAnsi="Nunito Sans"/>
          <w:lang w:val="en-AU"/>
        </w:rPr>
      </w:pPr>
      <w:r w:rsidRPr="004A4B65">
        <w:rPr>
          <w:rFonts w:ascii="Nunito Sans" w:hAnsi="Nunito Sans"/>
          <w:lang w:val="en-AU"/>
        </w:rPr>
        <w:t xml:space="preserve">Creating a standalone duty to provide </w:t>
      </w:r>
      <w:r w:rsidR="37B0EDD6" w:rsidRPr="004A4B65">
        <w:rPr>
          <w:rFonts w:ascii="Nunito Sans" w:hAnsi="Nunito Sans"/>
          <w:lang w:val="en-AU"/>
        </w:rPr>
        <w:t>adjustment</w:t>
      </w:r>
      <w:r w:rsidR="6B3985AD" w:rsidRPr="004A4B65">
        <w:rPr>
          <w:rFonts w:ascii="Nunito Sans" w:hAnsi="Nunito Sans"/>
          <w:lang w:val="en-AU"/>
        </w:rPr>
        <w:t>s</w:t>
      </w:r>
      <w:r w:rsidRPr="29BB67C7">
        <w:rPr>
          <w:rFonts w:ascii="Nunito Sans" w:hAnsi="Nunito Sans"/>
          <w:lang w:val="en-AU"/>
        </w:rPr>
        <w:t xml:space="preserve"> would </w:t>
      </w:r>
      <w:r w:rsidR="00B5400A" w:rsidRPr="29BB67C7">
        <w:rPr>
          <w:rFonts w:ascii="Nunito Sans" w:hAnsi="Nunito Sans"/>
          <w:lang w:val="en-AU"/>
        </w:rPr>
        <w:t xml:space="preserve">encourage </w:t>
      </w:r>
      <w:r w:rsidR="007F14F9" w:rsidRPr="29BB67C7">
        <w:rPr>
          <w:rFonts w:ascii="Nunito Sans" w:hAnsi="Nunito Sans"/>
          <w:lang w:val="en-AU"/>
        </w:rPr>
        <w:t xml:space="preserve">decision-makers </w:t>
      </w:r>
      <w:r w:rsidR="00B5400A" w:rsidRPr="29BB67C7">
        <w:rPr>
          <w:rFonts w:ascii="Nunito Sans" w:hAnsi="Nunito Sans"/>
          <w:lang w:val="en-AU"/>
        </w:rPr>
        <w:t xml:space="preserve">to </w:t>
      </w:r>
      <w:r w:rsidR="007F14F9" w:rsidRPr="29BB67C7">
        <w:rPr>
          <w:rFonts w:ascii="Nunito Sans" w:hAnsi="Nunito Sans"/>
          <w:lang w:val="en-AU"/>
        </w:rPr>
        <w:t>ask themselves the right questions about inclusion and substantive equality.</w:t>
      </w:r>
      <w:r w:rsidR="000F19DF" w:rsidRPr="29BB67C7">
        <w:rPr>
          <w:rFonts w:ascii="Nunito Sans" w:hAnsi="Nunito Sans"/>
          <w:lang w:val="en-AU"/>
        </w:rPr>
        <w:t xml:space="preserve"> </w:t>
      </w:r>
      <w:r w:rsidR="009842F9" w:rsidRPr="29BB67C7">
        <w:rPr>
          <w:rFonts w:ascii="Nunito Sans" w:hAnsi="Nunito Sans"/>
          <w:lang w:val="en-AU"/>
        </w:rPr>
        <w:t xml:space="preserve">Moving away from “reasonableness”, which is a subjective </w:t>
      </w:r>
      <w:r w:rsidR="00273B45" w:rsidRPr="29BB67C7">
        <w:rPr>
          <w:rFonts w:ascii="Nunito Sans" w:hAnsi="Nunito Sans"/>
          <w:lang w:val="en-AU"/>
        </w:rPr>
        <w:t xml:space="preserve">element, </w:t>
      </w:r>
      <w:r w:rsidR="00120225" w:rsidRPr="29BB67C7">
        <w:rPr>
          <w:rFonts w:ascii="Nunito Sans" w:hAnsi="Nunito Sans"/>
          <w:lang w:val="en-AU"/>
        </w:rPr>
        <w:t xml:space="preserve">also </w:t>
      </w:r>
      <w:r w:rsidR="00273B45" w:rsidRPr="29BB67C7">
        <w:rPr>
          <w:rFonts w:ascii="Nunito Sans" w:hAnsi="Nunito Sans"/>
          <w:lang w:val="en-AU"/>
        </w:rPr>
        <w:t>provides more clarity to duty holders w</w:t>
      </w:r>
      <w:r w:rsidR="00515EF4" w:rsidRPr="29BB67C7">
        <w:rPr>
          <w:rFonts w:ascii="Nunito Sans" w:hAnsi="Nunito Sans"/>
          <w:lang w:val="en-AU"/>
        </w:rPr>
        <w:t xml:space="preserve">ho can objectively </w:t>
      </w:r>
      <w:r w:rsidR="005E533F" w:rsidRPr="29BB67C7">
        <w:rPr>
          <w:rFonts w:ascii="Nunito Sans" w:hAnsi="Nunito Sans"/>
          <w:lang w:val="en-AU"/>
        </w:rPr>
        <w:t>provide adjustments, unless</w:t>
      </w:r>
      <w:r w:rsidR="003A77F2">
        <w:rPr>
          <w:rFonts w:ascii="Nunito Sans" w:hAnsi="Nunito Sans"/>
          <w:lang w:val="en-AU"/>
        </w:rPr>
        <w:t xml:space="preserve"> </w:t>
      </w:r>
      <w:r w:rsidR="005E533F" w:rsidRPr="29BB67C7">
        <w:rPr>
          <w:rFonts w:ascii="Nunito Sans" w:hAnsi="Nunito Sans"/>
          <w:lang w:val="en-AU"/>
        </w:rPr>
        <w:t>unjustifiable hardship</w:t>
      </w:r>
      <w:r w:rsidR="001730D8" w:rsidRPr="29BB67C7">
        <w:rPr>
          <w:rFonts w:ascii="Nunito Sans" w:hAnsi="Nunito Sans"/>
          <w:lang w:val="en-AU"/>
        </w:rPr>
        <w:t xml:space="preserve"> </w:t>
      </w:r>
      <w:r w:rsidR="003A77F2">
        <w:rPr>
          <w:rFonts w:ascii="Nunito Sans" w:hAnsi="Nunito Sans"/>
          <w:lang w:val="en-AU"/>
        </w:rPr>
        <w:t>is imposed.</w:t>
      </w:r>
    </w:p>
    <w:p w14:paraId="4DD5ADF7" w14:textId="317255EF" w:rsidR="006F42D7" w:rsidRDefault="000E625D" w:rsidP="006F42D7">
      <w:pPr>
        <w:spacing w:line="360" w:lineRule="auto"/>
        <w:rPr>
          <w:rFonts w:ascii="Nunito Sans" w:hAnsi="Nunito Sans"/>
          <w:szCs w:val="20"/>
          <w:lang w:val="en-AU"/>
        </w:rPr>
      </w:pPr>
      <w:r w:rsidRPr="000E625D">
        <w:rPr>
          <w:rFonts w:ascii="Nunito Sans" w:hAnsi="Nunito Sans"/>
          <w:szCs w:val="20"/>
          <w:lang w:val="en-AU"/>
        </w:rPr>
        <w:t xml:space="preserve">From a disability perspective, </w:t>
      </w:r>
      <w:r w:rsidR="0087091E">
        <w:rPr>
          <w:rFonts w:ascii="Nunito Sans" w:hAnsi="Nunito Sans"/>
          <w:szCs w:val="20"/>
          <w:lang w:val="en-AU"/>
        </w:rPr>
        <w:t>it is necessary to know</w:t>
      </w:r>
      <w:r w:rsidRPr="000E625D">
        <w:rPr>
          <w:rFonts w:ascii="Nunito Sans" w:hAnsi="Nunito Sans"/>
          <w:szCs w:val="20"/>
          <w:lang w:val="en-AU"/>
        </w:rPr>
        <w:t xml:space="preserve"> whether</w:t>
      </w:r>
      <w:r w:rsidR="0087091E">
        <w:rPr>
          <w:rFonts w:ascii="Nunito Sans" w:hAnsi="Nunito Sans"/>
          <w:szCs w:val="20"/>
          <w:lang w:val="en-AU"/>
        </w:rPr>
        <w:t xml:space="preserve"> the</w:t>
      </w:r>
      <w:r w:rsidRPr="000E625D">
        <w:rPr>
          <w:rFonts w:ascii="Nunito Sans" w:hAnsi="Nunito Sans"/>
          <w:szCs w:val="20"/>
          <w:lang w:val="en-AU"/>
        </w:rPr>
        <w:t xml:space="preserve"> adjustment or accommodation is adequate to the specific needs of the person with disability and whether there is a commitment to continually reviewing its adequacy.</w:t>
      </w:r>
      <w:r w:rsidR="005C48F2">
        <w:rPr>
          <w:rFonts w:ascii="Nunito Sans" w:hAnsi="Nunito Sans"/>
          <w:szCs w:val="20"/>
          <w:lang w:val="en-AU"/>
        </w:rPr>
        <w:t xml:space="preserve"> Unfortunately, it is common </w:t>
      </w:r>
      <w:r w:rsidR="001831FF">
        <w:rPr>
          <w:rFonts w:ascii="Nunito Sans" w:hAnsi="Nunito Sans"/>
          <w:szCs w:val="20"/>
          <w:lang w:val="en-AU"/>
        </w:rPr>
        <w:t>that people without a disability misunderst</w:t>
      </w:r>
      <w:r w:rsidR="001F77C7">
        <w:rPr>
          <w:rFonts w:ascii="Nunito Sans" w:hAnsi="Nunito Sans"/>
          <w:szCs w:val="20"/>
          <w:lang w:val="en-AU"/>
        </w:rPr>
        <w:t>and</w:t>
      </w:r>
      <w:r w:rsidR="001831FF">
        <w:rPr>
          <w:rFonts w:ascii="Nunito Sans" w:hAnsi="Nunito Sans"/>
          <w:szCs w:val="20"/>
          <w:lang w:val="en-AU"/>
        </w:rPr>
        <w:t xml:space="preserve"> </w:t>
      </w:r>
      <w:r w:rsidR="006513B8">
        <w:rPr>
          <w:rFonts w:ascii="Nunito Sans" w:hAnsi="Nunito Sans"/>
          <w:szCs w:val="20"/>
          <w:lang w:val="en-AU"/>
        </w:rPr>
        <w:t xml:space="preserve">the needs of </w:t>
      </w:r>
      <w:r w:rsidR="00C21196">
        <w:rPr>
          <w:rFonts w:ascii="Nunito Sans" w:hAnsi="Nunito Sans"/>
          <w:szCs w:val="20"/>
          <w:lang w:val="en-AU"/>
        </w:rPr>
        <w:t xml:space="preserve">people with disability which contributes to </w:t>
      </w:r>
      <w:r w:rsidR="006F42D7">
        <w:rPr>
          <w:rFonts w:ascii="Nunito Sans" w:hAnsi="Nunito Sans"/>
          <w:szCs w:val="20"/>
          <w:lang w:val="en-AU"/>
        </w:rPr>
        <w:t xml:space="preserve">discrimination. </w:t>
      </w:r>
      <w:r w:rsidR="006F42D7" w:rsidRPr="006F42D7">
        <w:rPr>
          <w:rFonts w:ascii="Nunito Sans" w:hAnsi="Nunito Sans"/>
          <w:szCs w:val="20"/>
          <w:lang w:val="en-AU"/>
        </w:rPr>
        <w:t xml:space="preserve">It is imperative for steps to be taken to try to understand a </w:t>
      </w:r>
      <w:r w:rsidR="006F42D7" w:rsidRPr="006F42D7">
        <w:rPr>
          <w:rFonts w:ascii="Nunito Sans" w:hAnsi="Nunito Sans"/>
          <w:szCs w:val="20"/>
          <w:lang w:val="en-AU"/>
        </w:rPr>
        <w:lastRenderedPageBreak/>
        <w:t xml:space="preserve">person’s </w:t>
      </w:r>
      <w:r w:rsidR="003C69CD">
        <w:rPr>
          <w:rFonts w:ascii="Nunito Sans" w:hAnsi="Nunito Sans"/>
          <w:szCs w:val="20"/>
          <w:lang w:val="en-AU"/>
        </w:rPr>
        <w:t>disability</w:t>
      </w:r>
      <w:r w:rsidR="006F42D7" w:rsidRPr="006F42D7">
        <w:rPr>
          <w:rFonts w:ascii="Nunito Sans" w:hAnsi="Nunito Sans"/>
          <w:szCs w:val="20"/>
          <w:lang w:val="en-AU"/>
        </w:rPr>
        <w:t xml:space="preserve"> by </w:t>
      </w:r>
      <w:r w:rsidR="0025025F">
        <w:rPr>
          <w:rFonts w:ascii="Nunito Sans" w:hAnsi="Nunito Sans"/>
          <w:szCs w:val="20"/>
          <w:lang w:val="en-AU"/>
        </w:rPr>
        <w:t>knowing</w:t>
      </w:r>
      <w:r w:rsidR="006F42D7" w:rsidRPr="006F42D7">
        <w:rPr>
          <w:rFonts w:ascii="Nunito Sans" w:hAnsi="Nunito Sans"/>
          <w:szCs w:val="20"/>
          <w:lang w:val="en-AU"/>
        </w:rPr>
        <w:t xml:space="preserve"> their experiences and history, including the quality of current and previous support arrangements and instances of abuse and negle</w:t>
      </w:r>
      <w:r w:rsidR="003C69CD">
        <w:rPr>
          <w:rFonts w:ascii="Nunito Sans" w:hAnsi="Nunito Sans"/>
          <w:szCs w:val="20"/>
          <w:lang w:val="en-AU"/>
        </w:rPr>
        <w:t xml:space="preserve">ct. </w:t>
      </w:r>
    </w:p>
    <w:p w14:paraId="2E1C3670" w14:textId="3AE4199E" w:rsidR="0018057A" w:rsidRDefault="00D15E8A" w:rsidP="005D197B">
      <w:pPr>
        <w:spacing w:line="360" w:lineRule="auto"/>
        <w:rPr>
          <w:rFonts w:ascii="Nunito Sans" w:hAnsi="Nunito Sans"/>
        </w:rPr>
      </w:pPr>
      <w:r w:rsidRPr="29BB67C7">
        <w:rPr>
          <w:rFonts w:ascii="Nunito Sans" w:hAnsi="Nunito Sans"/>
          <w:lang w:val="en-AU"/>
        </w:rPr>
        <w:t xml:space="preserve">We support the creation of a standalone duty to </w:t>
      </w:r>
      <w:proofErr w:type="gramStart"/>
      <w:r w:rsidRPr="29BB67C7">
        <w:rPr>
          <w:rFonts w:ascii="Nunito Sans" w:hAnsi="Nunito Sans"/>
          <w:lang w:val="en-AU"/>
        </w:rPr>
        <w:t>make adjustments</w:t>
      </w:r>
      <w:proofErr w:type="gramEnd"/>
      <w:r w:rsidRPr="29BB67C7">
        <w:rPr>
          <w:rFonts w:ascii="Nunito Sans" w:hAnsi="Nunito Sans"/>
          <w:lang w:val="en-AU"/>
        </w:rPr>
        <w:t xml:space="preserve">. </w:t>
      </w:r>
      <w:r w:rsidR="00F226B1" w:rsidRPr="29BB67C7">
        <w:rPr>
          <w:rFonts w:ascii="Nunito Sans" w:hAnsi="Nunito Sans"/>
          <w:lang w:val="en-AU"/>
        </w:rPr>
        <w:t xml:space="preserve">This should </w:t>
      </w:r>
      <w:r w:rsidRPr="29BB67C7">
        <w:rPr>
          <w:rFonts w:ascii="Nunito Sans" w:hAnsi="Nunito Sans"/>
          <w:lang w:val="en-AU"/>
        </w:rPr>
        <w:t>include a practical, timely obligation to identify and implement adjustments</w:t>
      </w:r>
      <w:r w:rsidR="00513A54" w:rsidRPr="29BB67C7">
        <w:rPr>
          <w:rFonts w:ascii="Nunito Sans" w:hAnsi="Nunito Sans"/>
          <w:lang w:val="en-AU"/>
        </w:rPr>
        <w:t>, with written reasons for refusals, especially in education, employment and essential services, and it should</w:t>
      </w:r>
      <w:r w:rsidR="00F226B1" w:rsidRPr="29BB67C7">
        <w:rPr>
          <w:rFonts w:ascii="Nunito Sans" w:hAnsi="Nunito Sans"/>
          <w:lang w:val="en-AU"/>
        </w:rPr>
        <w:t xml:space="preserve"> involve </w:t>
      </w:r>
      <w:r w:rsidR="00781644" w:rsidRPr="29BB67C7">
        <w:rPr>
          <w:rFonts w:ascii="Nunito Sans" w:hAnsi="Nunito Sans"/>
          <w:lang w:val="en-AU"/>
        </w:rPr>
        <w:t>consult</w:t>
      </w:r>
      <w:r w:rsidR="00D24737" w:rsidRPr="29BB67C7">
        <w:rPr>
          <w:rFonts w:ascii="Nunito Sans" w:hAnsi="Nunito Sans"/>
          <w:lang w:val="en-AU"/>
        </w:rPr>
        <w:t>ation</w:t>
      </w:r>
      <w:r w:rsidR="00781644" w:rsidRPr="29BB67C7">
        <w:rPr>
          <w:rFonts w:ascii="Nunito Sans" w:hAnsi="Nunito Sans"/>
          <w:lang w:val="en-AU"/>
        </w:rPr>
        <w:t xml:space="preserve"> with people with disability</w:t>
      </w:r>
      <w:r w:rsidRPr="29BB67C7">
        <w:rPr>
          <w:rFonts w:ascii="Nunito Sans" w:hAnsi="Nunito Sans"/>
          <w:lang w:val="en-AU"/>
        </w:rPr>
        <w:t xml:space="preserve">. </w:t>
      </w:r>
      <w:r w:rsidR="0069329C" w:rsidRPr="29BB67C7">
        <w:rPr>
          <w:rFonts w:ascii="Nunito Sans" w:hAnsi="Nunito Sans"/>
          <w:lang w:val="en-AU"/>
        </w:rPr>
        <w:t xml:space="preserve">The creation of a standalone </w:t>
      </w:r>
      <w:r w:rsidR="00F12916" w:rsidRPr="29BB67C7">
        <w:rPr>
          <w:rFonts w:ascii="Nunito Sans" w:hAnsi="Nunito Sans"/>
          <w:lang w:val="en-AU"/>
        </w:rPr>
        <w:t>duty is an invitation to people with disability and duty holders to have a genuine and meaningful conversation about adjustments</w:t>
      </w:r>
      <w:r w:rsidR="00A80BCF" w:rsidRPr="29BB67C7">
        <w:rPr>
          <w:rFonts w:ascii="Nunito Sans" w:hAnsi="Nunito Sans"/>
          <w:lang w:val="en-AU"/>
        </w:rPr>
        <w:t xml:space="preserve">. </w:t>
      </w:r>
      <w:r w:rsidR="007728D0" w:rsidRPr="29BB67C7">
        <w:rPr>
          <w:rFonts w:ascii="Nunito Sans" w:hAnsi="Nunito Sans"/>
          <w:lang w:val="en-AU"/>
        </w:rPr>
        <w:t>Failure to do so would result</w:t>
      </w:r>
      <w:r w:rsidR="00275FCD" w:rsidRPr="29BB67C7">
        <w:rPr>
          <w:rFonts w:ascii="Nunito Sans" w:hAnsi="Nunito Sans"/>
          <w:lang w:val="en-AU"/>
        </w:rPr>
        <w:t xml:space="preserve"> in a </w:t>
      </w:r>
      <w:r w:rsidR="00E15A8F" w:rsidRPr="29BB67C7">
        <w:rPr>
          <w:rFonts w:ascii="Nunito Sans" w:hAnsi="Nunito Sans"/>
          <w:lang w:val="en-AU"/>
        </w:rPr>
        <w:t>discrimination complaint</w:t>
      </w:r>
      <w:r w:rsidR="00A62EE3" w:rsidRPr="29BB67C7">
        <w:rPr>
          <w:rFonts w:ascii="Nunito Sans" w:hAnsi="Nunito Sans"/>
          <w:lang w:val="en-AU"/>
        </w:rPr>
        <w:t xml:space="preserve"> on the specific ground </w:t>
      </w:r>
      <w:r w:rsidR="000A7B5B" w:rsidRPr="29BB67C7">
        <w:rPr>
          <w:rFonts w:ascii="Nunito Sans" w:hAnsi="Nunito Sans"/>
          <w:lang w:val="en-AU"/>
        </w:rPr>
        <w:t>of adjustments not being provided or being refused.</w:t>
      </w:r>
      <w:r w:rsidR="002B0EEE" w:rsidRPr="29BB67C7">
        <w:rPr>
          <w:rFonts w:ascii="Nunito Sans" w:hAnsi="Nunito Sans"/>
          <w:lang w:val="en-AU"/>
        </w:rPr>
        <w:t xml:space="preserve"> In other words, this would </w:t>
      </w:r>
      <w:r w:rsidR="00A227F3" w:rsidRPr="29BB67C7">
        <w:rPr>
          <w:rFonts w:ascii="Nunito Sans" w:hAnsi="Nunito Sans"/>
        </w:rPr>
        <w:t xml:space="preserve">prevent </w:t>
      </w:r>
      <w:r w:rsidR="0050554E" w:rsidRPr="29BB67C7">
        <w:rPr>
          <w:rFonts w:ascii="Nunito Sans" w:hAnsi="Nunito Sans"/>
        </w:rPr>
        <w:t xml:space="preserve">the failure or refusal </w:t>
      </w:r>
      <w:r w:rsidR="00192500" w:rsidRPr="29BB67C7">
        <w:rPr>
          <w:rFonts w:ascii="Nunito Sans" w:hAnsi="Nunito Sans"/>
        </w:rPr>
        <w:t xml:space="preserve">from happening in the first place. </w:t>
      </w:r>
    </w:p>
    <w:p w14:paraId="40179160" w14:textId="55D254AC" w:rsidR="00877753" w:rsidRDefault="00877753" w:rsidP="005D197B">
      <w:pPr>
        <w:spacing w:line="360" w:lineRule="auto"/>
        <w:rPr>
          <w:rFonts w:ascii="Nunito Sans" w:hAnsi="Nunito Sans"/>
        </w:rPr>
      </w:pPr>
      <w:r w:rsidRPr="29BB67C7">
        <w:rPr>
          <w:rFonts w:ascii="Nunito Sans" w:hAnsi="Nunito Sans"/>
        </w:rPr>
        <w:t>Where adjustments are implemented, duty holders should develop a plan to review and update them, recognising</w:t>
      </w:r>
      <w:r w:rsidR="000751DC">
        <w:rPr>
          <w:rFonts w:ascii="Nunito Sans" w:hAnsi="Nunito Sans"/>
        </w:rPr>
        <w:t xml:space="preserve"> </w:t>
      </w:r>
      <w:r w:rsidRPr="29BB67C7">
        <w:rPr>
          <w:rFonts w:ascii="Nunito Sans" w:hAnsi="Nunito Sans"/>
        </w:rPr>
        <w:t>disability is not static and individual needs may evolve over time.</w:t>
      </w:r>
    </w:p>
    <w:p w14:paraId="6B1F2263" w14:textId="38C097FD" w:rsidR="00B8348C" w:rsidRPr="002B0EEE" w:rsidRDefault="00B8348C" w:rsidP="005D197B">
      <w:pPr>
        <w:spacing w:line="360" w:lineRule="auto"/>
        <w:rPr>
          <w:rFonts w:ascii="Nunito Sans" w:hAnsi="Nunito Sans"/>
          <w:lang w:val="en-AU"/>
        </w:rPr>
      </w:pPr>
      <w:r w:rsidRPr="29BB67C7">
        <w:rPr>
          <w:rFonts w:ascii="Nunito Sans" w:hAnsi="Nunito Sans"/>
        </w:rPr>
        <w:t xml:space="preserve">As </w:t>
      </w:r>
      <w:r w:rsidR="46DE42F9" w:rsidRPr="29BB67C7">
        <w:rPr>
          <w:rFonts w:ascii="Nunito Sans" w:hAnsi="Nunito Sans"/>
        </w:rPr>
        <w:t>outlined</w:t>
      </w:r>
      <w:r w:rsidRPr="29BB67C7">
        <w:rPr>
          <w:rFonts w:ascii="Nunito Sans" w:hAnsi="Nunito Sans"/>
        </w:rPr>
        <w:t xml:space="preserve"> in the DRC Report, </w:t>
      </w:r>
      <w:r w:rsidR="00E631FE" w:rsidRPr="29BB67C7">
        <w:rPr>
          <w:rFonts w:ascii="Nunito Sans" w:hAnsi="Nunito Sans"/>
        </w:rPr>
        <w:t>removing the term “reasonable” from “reasonable adjustments” remove</w:t>
      </w:r>
      <w:r w:rsidR="00FB5898" w:rsidRPr="29BB67C7">
        <w:rPr>
          <w:rFonts w:ascii="Nunito Sans" w:hAnsi="Nunito Sans"/>
        </w:rPr>
        <w:t>s</w:t>
      </w:r>
      <w:r w:rsidR="00E631FE" w:rsidRPr="29BB67C7">
        <w:rPr>
          <w:rFonts w:ascii="Nunito Sans" w:hAnsi="Nunito Sans"/>
        </w:rPr>
        <w:t xml:space="preserve"> the misconception that reasonableness is an element in deciding whether an adjustment is required.</w:t>
      </w:r>
      <w:r w:rsidR="00CF7BF0" w:rsidRPr="29BB67C7">
        <w:rPr>
          <w:rStyle w:val="FootnoteReference"/>
          <w:rFonts w:ascii="Nunito Sans" w:hAnsi="Nunito Sans"/>
        </w:rPr>
        <w:footnoteReference w:id="25"/>
      </w:r>
      <w:r w:rsidR="00FB5898" w:rsidRPr="29BB67C7">
        <w:rPr>
          <w:rFonts w:ascii="Nunito Sans" w:hAnsi="Nunito Sans"/>
        </w:rPr>
        <w:t xml:space="preserve"> </w:t>
      </w:r>
      <w:r w:rsidR="00D61689" w:rsidRPr="29BB67C7">
        <w:rPr>
          <w:rFonts w:ascii="Nunito Sans" w:hAnsi="Nunito Sans"/>
        </w:rPr>
        <w:t>Exemptions and exceptions provided in the Act</w:t>
      </w:r>
      <w:r w:rsidR="001C518A" w:rsidRPr="29BB67C7">
        <w:rPr>
          <w:rFonts w:ascii="Nunito Sans" w:hAnsi="Nunito Sans"/>
        </w:rPr>
        <w:t>, such as the unjustifiable hardship test,</w:t>
      </w:r>
      <w:r w:rsidR="00011496" w:rsidRPr="29BB67C7">
        <w:rPr>
          <w:rFonts w:ascii="Nunito Sans" w:hAnsi="Nunito Sans"/>
        </w:rPr>
        <w:t xml:space="preserve"> will</w:t>
      </w:r>
      <w:r w:rsidR="00D61689" w:rsidRPr="29BB67C7">
        <w:rPr>
          <w:rFonts w:ascii="Nunito Sans" w:hAnsi="Nunito Sans"/>
        </w:rPr>
        <w:t xml:space="preserve"> </w:t>
      </w:r>
      <w:r w:rsidR="0039042B" w:rsidRPr="29BB67C7">
        <w:rPr>
          <w:rFonts w:ascii="Nunito Sans" w:hAnsi="Nunito Sans"/>
        </w:rPr>
        <w:t xml:space="preserve">continue to provide </w:t>
      </w:r>
      <w:r w:rsidR="00B25CB3" w:rsidRPr="29BB67C7">
        <w:rPr>
          <w:rFonts w:ascii="Nunito Sans" w:hAnsi="Nunito Sans"/>
        </w:rPr>
        <w:t xml:space="preserve">reasonableness </w:t>
      </w:r>
      <w:r w:rsidR="00011496" w:rsidRPr="29BB67C7">
        <w:rPr>
          <w:rFonts w:ascii="Nunito Sans" w:hAnsi="Nunito Sans"/>
        </w:rPr>
        <w:t xml:space="preserve">(as a broader </w:t>
      </w:r>
      <w:r w:rsidR="00AF7211" w:rsidRPr="29BB67C7">
        <w:rPr>
          <w:rFonts w:ascii="Nunito Sans" w:hAnsi="Nunito Sans"/>
        </w:rPr>
        <w:t>term)</w:t>
      </w:r>
      <w:r w:rsidR="00031955" w:rsidRPr="29BB67C7">
        <w:rPr>
          <w:rFonts w:ascii="Nunito Sans" w:hAnsi="Nunito Sans"/>
        </w:rPr>
        <w:t xml:space="preserve">, thus preventing </w:t>
      </w:r>
      <w:r w:rsidR="001C518A" w:rsidRPr="29BB67C7">
        <w:rPr>
          <w:rFonts w:ascii="Nunito Sans" w:hAnsi="Nunito Sans"/>
        </w:rPr>
        <w:t xml:space="preserve">unrealistic burden on </w:t>
      </w:r>
      <w:r w:rsidR="00A7783C" w:rsidRPr="29BB67C7">
        <w:rPr>
          <w:rFonts w:ascii="Nunito Sans" w:hAnsi="Nunito Sans"/>
        </w:rPr>
        <w:t>duty holders.</w:t>
      </w:r>
    </w:p>
    <w:p w14:paraId="6F6FE82B" w14:textId="5AD14876" w:rsidR="009B022B" w:rsidRDefault="0052142E" w:rsidP="0052142E">
      <w:pPr>
        <w:spacing w:line="360" w:lineRule="auto"/>
        <w:rPr>
          <w:rFonts w:ascii="Nunito Sans" w:hAnsi="Nunito Sans"/>
        </w:rPr>
      </w:pPr>
      <w:r w:rsidRPr="29BB67C7">
        <w:rPr>
          <w:rFonts w:ascii="Nunito Sans" w:hAnsi="Nunito Sans"/>
        </w:rPr>
        <w:t xml:space="preserve">Adjustments should be required in areas not presently covered by the DDA, particularly corrective services and child protection (in which people with disability are overrepresented). Other Anti-Discrimination Acts, such as the </w:t>
      </w:r>
      <w:r w:rsidRPr="29BB67C7">
        <w:rPr>
          <w:rFonts w:ascii="Nunito Sans" w:hAnsi="Nunito Sans"/>
          <w:i/>
        </w:rPr>
        <w:t>Racial Discrimination Act 1975</w:t>
      </w:r>
      <w:r w:rsidRPr="29BB67C7">
        <w:rPr>
          <w:rFonts w:ascii="Nunito Sans" w:hAnsi="Nunito Sans"/>
        </w:rPr>
        <w:t xml:space="preserve"> (</w:t>
      </w:r>
      <w:proofErr w:type="spellStart"/>
      <w:r w:rsidRPr="29BB67C7">
        <w:rPr>
          <w:rFonts w:ascii="Nunito Sans" w:hAnsi="Nunito Sans"/>
        </w:rPr>
        <w:t>Cth</w:t>
      </w:r>
      <w:proofErr w:type="spellEnd"/>
      <w:r w:rsidRPr="29BB67C7">
        <w:rPr>
          <w:rFonts w:ascii="Nunito Sans" w:hAnsi="Nunito Sans"/>
        </w:rPr>
        <w:t>) are not artificially restricted to certain ‘areas of public life’.</w:t>
      </w:r>
    </w:p>
    <w:p w14:paraId="28FF0F47" w14:textId="6F6C0659" w:rsidR="000751DC" w:rsidRPr="008141EC" w:rsidRDefault="0052142E" w:rsidP="008141EC">
      <w:pPr>
        <w:spacing w:after="240" w:line="360" w:lineRule="auto"/>
        <w:rPr>
          <w:rFonts w:ascii="Nunito Sans" w:hAnsi="Nunito Sans"/>
          <w:szCs w:val="20"/>
        </w:rPr>
      </w:pPr>
      <w:r w:rsidRPr="0052142E">
        <w:rPr>
          <w:rFonts w:ascii="Nunito Sans" w:hAnsi="Nunito Sans"/>
          <w:szCs w:val="20"/>
        </w:rPr>
        <w:t>In addition, the duty (if adopted) should be drafted to ensure that duty holders are not responsible for circumstances outside their knowledge and/or control.</w:t>
      </w:r>
    </w:p>
    <w:p w14:paraId="43D27458" w14:textId="665323E1" w:rsidR="00FF66E0" w:rsidRPr="00CF221A" w:rsidRDefault="00B85D58" w:rsidP="00CF221A">
      <w:pPr>
        <w:pStyle w:val="QIDANParagraph"/>
        <w:rPr>
          <w:b/>
          <w:bCs/>
          <w:color w:val="690048"/>
        </w:rPr>
      </w:pPr>
      <w:r>
        <w:rPr>
          <w:b/>
          <w:bCs/>
          <w:color w:val="690048"/>
        </w:rPr>
        <w:t>U</w:t>
      </w:r>
      <w:r w:rsidR="00FF66E0" w:rsidRPr="00CF221A">
        <w:rPr>
          <w:b/>
          <w:bCs/>
          <w:color w:val="690048"/>
        </w:rPr>
        <w:t>njustifiable hardship</w:t>
      </w:r>
      <w:r>
        <w:rPr>
          <w:b/>
          <w:bCs/>
          <w:color w:val="690048"/>
        </w:rPr>
        <w:t>: an oppor</w:t>
      </w:r>
      <w:r w:rsidR="00AC313C">
        <w:rPr>
          <w:b/>
          <w:bCs/>
          <w:color w:val="690048"/>
        </w:rPr>
        <w:t xml:space="preserve">tunity to </w:t>
      </w:r>
      <w:r>
        <w:rPr>
          <w:b/>
          <w:bCs/>
          <w:color w:val="690048"/>
        </w:rPr>
        <w:t>test equality for people with disability</w:t>
      </w:r>
      <w:r w:rsidR="000C2876">
        <w:rPr>
          <w:b/>
          <w:bCs/>
          <w:color w:val="690048"/>
        </w:rPr>
        <w:t xml:space="preserve"> </w:t>
      </w:r>
    </w:p>
    <w:p w14:paraId="22A13BA0" w14:textId="3E940EF8" w:rsidR="00D51B3C" w:rsidRPr="00D51B3C" w:rsidRDefault="00D51B3C" w:rsidP="00CF221A">
      <w:pPr>
        <w:pStyle w:val="QIDANParagraph"/>
      </w:pPr>
      <w:r w:rsidRPr="00D51B3C">
        <w:t>The</w:t>
      </w:r>
      <w:r w:rsidR="000A4AB4">
        <w:t xml:space="preserve"> current</w:t>
      </w:r>
      <w:r w:rsidRPr="00D51B3C">
        <w:t xml:space="preserve"> test for unjustifiable hardship has the capacity to erode equality for people with disability as it places the individual requiring adjustments against a financial balance </w:t>
      </w:r>
      <w:r w:rsidRPr="00D51B3C">
        <w:lastRenderedPageBreak/>
        <w:t xml:space="preserve">sheet without recognising the broader social benefits of inclusion. Many adjustments come at a cost with intangible immediate benefits. </w:t>
      </w:r>
      <w:r w:rsidR="00E24652">
        <w:t xml:space="preserve">When a child with disability </w:t>
      </w:r>
      <w:r w:rsidR="001353C0">
        <w:t xml:space="preserve">is refused adjustments </w:t>
      </w:r>
      <w:r w:rsidR="00197FA6">
        <w:t xml:space="preserve">at school </w:t>
      </w:r>
      <w:r w:rsidR="005E2C2A">
        <w:t>due to</w:t>
      </w:r>
      <w:r w:rsidR="001353C0">
        <w:t xml:space="preserve"> costs, there</w:t>
      </w:r>
      <w:r w:rsidRPr="00D51B3C">
        <w:t xml:space="preserve"> is no calculat</w:t>
      </w:r>
      <w:r w:rsidR="001353C0">
        <w:t>ion</w:t>
      </w:r>
      <w:r w:rsidRPr="00D51B3C">
        <w:t xml:space="preserve"> in this equation </w:t>
      </w:r>
      <w:r w:rsidR="004662DA">
        <w:t>of</w:t>
      </w:r>
      <w:r w:rsidRPr="00D51B3C">
        <w:t xml:space="preserve"> the benefit to </w:t>
      </w:r>
      <w:proofErr w:type="gramStart"/>
      <w:r w:rsidRPr="00D51B3C">
        <w:t>all of</w:t>
      </w:r>
      <w:proofErr w:type="gramEnd"/>
      <w:r w:rsidRPr="00D51B3C">
        <w:t xml:space="preserve"> the children in the class of growing up familiar with </w:t>
      </w:r>
      <w:r w:rsidR="004662DA">
        <w:t>such adjustment</w:t>
      </w:r>
      <w:r w:rsidRPr="00D51B3C">
        <w:t xml:space="preserve"> and having the potential new friend fully </w:t>
      </w:r>
      <w:r w:rsidR="576DBE04">
        <w:t xml:space="preserve">included </w:t>
      </w:r>
      <w:r w:rsidRPr="00D51B3C">
        <w:t xml:space="preserve">into their classroom. </w:t>
      </w:r>
      <w:r w:rsidR="004662DA">
        <w:t xml:space="preserve">As we </w:t>
      </w:r>
      <w:r w:rsidR="00340B24">
        <w:t>outlined</w:t>
      </w:r>
      <w:r w:rsidR="004662DA">
        <w:t xml:space="preserve"> </w:t>
      </w:r>
      <w:r w:rsidR="746B0F7B">
        <w:t>earlier</w:t>
      </w:r>
      <w:r w:rsidR="00340B24">
        <w:t xml:space="preserve">, </w:t>
      </w:r>
      <w:r w:rsidR="00BF2908">
        <w:t>refusing</w:t>
      </w:r>
      <w:r w:rsidR="00340B24">
        <w:t xml:space="preserve"> adjustments is not saving </w:t>
      </w:r>
      <w:r w:rsidR="008231A8">
        <w:t>costs,</w:t>
      </w:r>
      <w:r w:rsidR="008613D3">
        <w:t xml:space="preserve"> </w:t>
      </w:r>
      <w:r w:rsidR="00C021DC">
        <w:t>add</w:t>
      </w:r>
      <w:r w:rsidR="680C43E3">
        <w:t>ing</w:t>
      </w:r>
      <w:r w:rsidR="00C021DC">
        <w:t xml:space="preserve"> to </w:t>
      </w:r>
      <w:r w:rsidR="008613D3">
        <w:t>the social long-term impacts of not having an inclusive community</w:t>
      </w:r>
      <w:r w:rsidR="00AD385E">
        <w:t>,</w:t>
      </w:r>
      <w:r w:rsidR="00C021DC">
        <w:t xml:space="preserve"> the damage</w:t>
      </w:r>
      <w:r w:rsidR="00803A7F">
        <w:t xml:space="preserve"> </w:t>
      </w:r>
      <w:r w:rsidR="00AD385E">
        <w:t>becomes immeasurable</w:t>
      </w:r>
      <w:r w:rsidR="00C021DC">
        <w:t>.</w:t>
      </w:r>
    </w:p>
    <w:p w14:paraId="1E792572" w14:textId="145753A0" w:rsidR="00D51B3C" w:rsidRDefault="00D51B3C" w:rsidP="00D51B3C">
      <w:pPr>
        <w:pStyle w:val="QIDANParagraph"/>
      </w:pPr>
      <w:r w:rsidRPr="00D51B3C">
        <w:t xml:space="preserve">The CRPD talks about universal design as </w:t>
      </w:r>
      <w:r w:rsidRPr="00D51B3C">
        <w:rPr>
          <w:i/>
          <w:iCs/>
        </w:rPr>
        <w:t>“the design of products, environments, programmes and services to be usable by all people, to the greatest extent possible, without the need for adaptation or specialist design.</w:t>
      </w:r>
      <w:r w:rsidRPr="00D51B3C">
        <w:t>”</w:t>
      </w:r>
      <w:r w:rsidR="00D4075E">
        <w:rPr>
          <w:rStyle w:val="FootnoteReference"/>
        </w:rPr>
        <w:footnoteReference w:id="26"/>
      </w:r>
      <w:r w:rsidRPr="00D51B3C">
        <w:t xml:space="preserve"> </w:t>
      </w:r>
      <w:r w:rsidR="00176261">
        <w:t xml:space="preserve">These </w:t>
      </w:r>
      <w:r w:rsidRPr="00D51B3C">
        <w:t>standards do not require an individual to prove the adjustment is worth the cost and are a preferable approach.</w:t>
      </w:r>
    </w:p>
    <w:p w14:paraId="5F079905" w14:textId="2D384390" w:rsidR="00FF66E0" w:rsidRPr="00176261" w:rsidRDefault="00E00E6A" w:rsidP="00176261">
      <w:pPr>
        <w:pStyle w:val="QIDANParagraph"/>
        <w:spacing w:after="240"/>
      </w:pPr>
      <w:r>
        <w:t>T</w:t>
      </w:r>
      <w:r w:rsidR="003E06E9">
        <w:t>he DRC</w:t>
      </w:r>
      <w:r w:rsidR="00524770">
        <w:t>’s</w:t>
      </w:r>
      <w:r w:rsidR="008231A8">
        <w:t xml:space="preserve"> proposed</w:t>
      </w:r>
      <w:r w:rsidR="00524770">
        <w:t xml:space="preserve"> </w:t>
      </w:r>
      <w:r w:rsidR="00160F75">
        <w:t xml:space="preserve">definition of </w:t>
      </w:r>
      <w:r w:rsidR="00D51B3C" w:rsidRPr="00D51B3C">
        <w:t>unjustifiable hardship</w:t>
      </w:r>
      <w:r w:rsidR="00160F75">
        <w:t xml:space="preserve"> </w:t>
      </w:r>
      <w:r w:rsidR="00BD7891">
        <w:t>considers the equal dignity</w:t>
      </w:r>
      <w:r w:rsidR="004C75D4">
        <w:t xml:space="preserve"> and worth of people with disability as members of the community.</w:t>
      </w:r>
      <w:r w:rsidR="00524770">
        <w:t xml:space="preserve"> It also invites the duty holder to</w:t>
      </w:r>
      <w:r w:rsidR="00B62844">
        <w:t xml:space="preserve"> consider and</w:t>
      </w:r>
      <w:r w:rsidR="00524770">
        <w:t xml:space="preserve"> </w:t>
      </w:r>
      <w:r w:rsidR="00463AAE">
        <w:t>keep</w:t>
      </w:r>
      <w:r w:rsidR="00B62844">
        <w:t xml:space="preserve"> a</w:t>
      </w:r>
      <w:r w:rsidR="00463AAE">
        <w:t xml:space="preserve"> record of the relevant circumstances considered</w:t>
      </w:r>
      <w:r w:rsidR="00B62844">
        <w:t xml:space="preserve"> when </w:t>
      </w:r>
      <w:r w:rsidR="00486CB9">
        <w:t xml:space="preserve">the adjustments were requested. Although the DRC definition </w:t>
      </w:r>
      <w:r w:rsidR="00906AD8">
        <w:t>maintains the financial component</w:t>
      </w:r>
      <w:r w:rsidR="00503F6D">
        <w:t xml:space="preserve"> as one of the circumstances to be </w:t>
      </w:r>
      <w:proofErr w:type="gramStart"/>
      <w:r w:rsidR="00503F6D">
        <w:t>taken into account</w:t>
      </w:r>
      <w:proofErr w:type="gramEnd"/>
      <w:r w:rsidR="00503F6D">
        <w:t xml:space="preserve"> when unjustifiable hardship is assessed</w:t>
      </w:r>
      <w:r w:rsidR="00906AD8">
        <w:t xml:space="preserve">, it does not place costs at the centre of the </w:t>
      </w:r>
      <w:r w:rsidR="008E1158">
        <w:t xml:space="preserve">concept. </w:t>
      </w:r>
      <w:r w:rsidR="00E64315">
        <w:t xml:space="preserve">Comparing benefits </w:t>
      </w:r>
      <w:r w:rsidR="008C17BF">
        <w:t>to</w:t>
      </w:r>
      <w:r w:rsidR="00E64315">
        <w:t xml:space="preserve"> costs is like comparing oranges </w:t>
      </w:r>
      <w:r w:rsidR="008C17BF">
        <w:t>to</w:t>
      </w:r>
      <w:r w:rsidR="00E64315">
        <w:t xml:space="preserve"> apples, and it takes us back to a comparator concept where people with disability need to demonstrate that</w:t>
      </w:r>
      <w:r w:rsidR="001F2D39">
        <w:t xml:space="preserve"> adjustments</w:t>
      </w:r>
      <w:r w:rsidR="009426D4">
        <w:t xml:space="preserve"> requested </w:t>
      </w:r>
      <w:r w:rsidR="00E64315">
        <w:t xml:space="preserve">are “cheap enough" </w:t>
      </w:r>
      <w:r w:rsidR="00672862">
        <w:t>or “cheaper</w:t>
      </w:r>
      <w:r w:rsidR="00D66932">
        <w:t xml:space="preserve"> than</w:t>
      </w:r>
      <w:r w:rsidR="00672862">
        <w:t>”</w:t>
      </w:r>
      <w:r w:rsidR="001F2D39">
        <w:t>.</w:t>
      </w:r>
      <w:r w:rsidR="00EF1F68">
        <w:t xml:space="preserve"> Instead, we </w:t>
      </w:r>
      <w:r w:rsidR="003A0586">
        <w:t xml:space="preserve">need to </w:t>
      </w:r>
      <w:r w:rsidR="00457121">
        <w:t>consider the benefits to society when all individuals are treated equally.</w:t>
      </w:r>
      <w:r w:rsidR="001F2D39">
        <w:t xml:space="preserve"> Therefore, </w:t>
      </w:r>
      <w:r w:rsidR="0075109E">
        <w:t>we prefer the definition</w:t>
      </w:r>
      <w:r w:rsidR="009B6E98">
        <w:t xml:space="preserve"> of unjustifiable hardship</w:t>
      </w:r>
      <w:r w:rsidR="0075109E">
        <w:t xml:space="preserve"> proposed </w:t>
      </w:r>
      <w:r w:rsidR="009B6E98">
        <w:t>in</w:t>
      </w:r>
      <w:r w:rsidR="0075109E">
        <w:t xml:space="preserve"> the DRC </w:t>
      </w:r>
      <w:r w:rsidR="00612C7F">
        <w:t>r</w:t>
      </w:r>
      <w:r w:rsidR="0075109E">
        <w:t xml:space="preserve">ecommendation </w:t>
      </w:r>
      <w:r w:rsidR="00C62C0F">
        <w:t>4.32</w:t>
      </w:r>
      <w:r w:rsidR="00814819">
        <w:t xml:space="preserve"> </w:t>
      </w:r>
      <w:r w:rsidR="00D4319A">
        <w:t>over the alternative definition suggested by the Issues Paper.</w:t>
      </w:r>
    </w:p>
    <w:p w14:paraId="03808095" w14:textId="6B496C64" w:rsidR="00784E01" w:rsidRPr="00EF47DA" w:rsidRDefault="00784E01" w:rsidP="00F44F87">
      <w:pPr>
        <w:pStyle w:val="QIDANParagraph"/>
        <w:rPr>
          <w:b/>
          <w:bCs/>
          <w:color w:val="690048"/>
        </w:rPr>
      </w:pPr>
      <w:r>
        <w:rPr>
          <w:b/>
          <w:bCs/>
          <w:color w:val="690048"/>
        </w:rPr>
        <w:t xml:space="preserve">Genuine opportunity of employment </w:t>
      </w:r>
    </w:p>
    <w:p w14:paraId="1F96F15E" w14:textId="25A7257E" w:rsidR="000C35E8" w:rsidRDefault="002F7B63" w:rsidP="002F7B63">
      <w:pPr>
        <w:pStyle w:val="QIDANParagraph"/>
      </w:pPr>
      <w:r>
        <w:t>QIDAN supports the implementation of DRC recommen</w:t>
      </w:r>
      <w:r w:rsidR="007A6903">
        <w:t>dation 7.26</w:t>
      </w:r>
      <w:r w:rsidR="009B49E2">
        <w:t>, which proposes amendments to section 21A of the DDA</w:t>
      </w:r>
      <w:r w:rsidR="00CB3A77">
        <w:t>, as per below:</w:t>
      </w:r>
    </w:p>
    <w:p w14:paraId="0CE9EB4A" w14:textId="77777777" w:rsidR="00CB3A77" w:rsidRPr="00CB3A77" w:rsidRDefault="00CB3A77" w:rsidP="00A42FDE">
      <w:pPr>
        <w:pStyle w:val="QIDANParagraph"/>
        <w:ind w:left="284"/>
      </w:pPr>
      <w:r w:rsidRPr="00CB3A77">
        <w:lastRenderedPageBreak/>
        <w:t>Section 21A of the Disability Discrimination Act 1992 (</w:t>
      </w:r>
      <w:proofErr w:type="spellStart"/>
      <w:r w:rsidRPr="00CB3A77">
        <w:t>Cth</w:t>
      </w:r>
      <w:proofErr w:type="spellEnd"/>
      <w:r w:rsidRPr="00CB3A77">
        <w:t>) should be amended to expand the factors to be considered in determining whether a prospective or existing employee would be able to carry out the inherent requirements of a particular role.</w:t>
      </w:r>
    </w:p>
    <w:p w14:paraId="04F440AA" w14:textId="77777777" w:rsidR="00CB3A77" w:rsidRPr="00CB3A77" w:rsidRDefault="00CB3A77" w:rsidP="00A42FDE">
      <w:pPr>
        <w:pStyle w:val="QIDANParagraph"/>
        <w:ind w:left="567" w:hanging="283"/>
      </w:pPr>
      <w:r w:rsidRPr="00CB3A77">
        <w:t>These factors include the:</w:t>
      </w:r>
    </w:p>
    <w:p w14:paraId="296177E0" w14:textId="7A8EF5C1" w:rsidR="00CB3A77" w:rsidRPr="00CB3A77" w:rsidRDefault="00CB3A77" w:rsidP="001E2F1E">
      <w:pPr>
        <w:pStyle w:val="QIDANParagraph"/>
        <w:numPr>
          <w:ilvl w:val="1"/>
          <w:numId w:val="8"/>
        </w:numPr>
        <w:ind w:left="851" w:hanging="283"/>
      </w:pPr>
      <w:r w:rsidRPr="00CB3A77">
        <w:t>nature and extent of any adjustments made</w:t>
      </w:r>
    </w:p>
    <w:p w14:paraId="1B40961B" w14:textId="635AA7BD" w:rsidR="00CB3A77" w:rsidRPr="00CB3A77" w:rsidRDefault="00CB3A77" w:rsidP="001E2F1E">
      <w:pPr>
        <w:pStyle w:val="QIDANParagraph"/>
        <w:numPr>
          <w:ilvl w:val="1"/>
          <w:numId w:val="8"/>
        </w:numPr>
        <w:ind w:left="851" w:hanging="283"/>
      </w:pPr>
      <w:r w:rsidRPr="00CB3A77">
        <w:t>extent of consultation with any person with disability concerned.</w:t>
      </w:r>
    </w:p>
    <w:p w14:paraId="0D088B80" w14:textId="7C0075DB" w:rsidR="00A024EF" w:rsidRPr="00A024EF" w:rsidRDefault="00682EE1" w:rsidP="00A024EF">
      <w:pPr>
        <w:pStyle w:val="QIDANParagraph"/>
      </w:pPr>
      <w:r>
        <w:t>The DRC heard evidence that uncertainty over “inherent” rules led to unnecessary exclusion of candidates with disabilities</w:t>
      </w:r>
      <w:r w:rsidR="001A4741">
        <w:t>, resulting in discrimination.</w:t>
      </w:r>
      <w:r w:rsidR="00FC7862">
        <w:rPr>
          <w:rStyle w:val="FootnoteReference"/>
        </w:rPr>
        <w:footnoteReference w:id="27"/>
      </w:r>
      <w:r w:rsidR="00FC7862">
        <w:t xml:space="preserve"> </w:t>
      </w:r>
      <w:r w:rsidR="00A024EF" w:rsidRPr="00A024EF">
        <w:t xml:space="preserve">The </w:t>
      </w:r>
      <w:r w:rsidR="007A48F3">
        <w:t xml:space="preserve">above </w:t>
      </w:r>
      <w:r w:rsidR="00A024EF" w:rsidRPr="00A024EF">
        <w:t xml:space="preserve">proposed additions to the list of factors to be considered in determining whether a prospective or existing employee would be able to carry out the inherent requirements of a particular role therefore represent </w:t>
      </w:r>
      <w:r w:rsidR="00CC7AD1">
        <w:t>an improvement</w:t>
      </w:r>
      <w:r w:rsidR="00A024EF" w:rsidRPr="00A024EF">
        <w:t xml:space="preserve">. </w:t>
      </w:r>
    </w:p>
    <w:p w14:paraId="76455162" w14:textId="574DBE9F" w:rsidR="00126F3F" w:rsidRPr="00126F3F" w:rsidRDefault="00126F3F" w:rsidP="00126F3F">
      <w:pPr>
        <w:pStyle w:val="QIDANParagraph"/>
      </w:pPr>
      <w:r w:rsidRPr="00126F3F">
        <w:t xml:space="preserve">The inherent requirements exception should be construed strictly. Requiring express consideration of (a) the nature and extent of available or implemented adjustments and (b) consultation with the person with disability would embed proportionality within the </w:t>
      </w:r>
      <w:r w:rsidR="00B63659">
        <w:t>DDA</w:t>
      </w:r>
      <w:r w:rsidRPr="00126F3F">
        <w:t xml:space="preserve"> and align section 21A with the DDA’s</w:t>
      </w:r>
      <w:r w:rsidR="00B63659">
        <w:t xml:space="preserve"> unjustifiable</w:t>
      </w:r>
      <w:r w:rsidRPr="00126F3F">
        <w:t xml:space="preserve"> hardship framework. It would also </w:t>
      </w:r>
      <w:r w:rsidR="00845D83">
        <w:t>make</w:t>
      </w:r>
      <w:r w:rsidRPr="00126F3F">
        <w:t xml:space="preserve"> </w:t>
      </w:r>
      <w:r w:rsidR="00845D83">
        <w:t>the</w:t>
      </w:r>
      <w:r w:rsidRPr="00126F3F">
        <w:t xml:space="preserve"> ‘inherent requirements’ essential </w:t>
      </w:r>
      <w:r w:rsidR="00845D83">
        <w:t xml:space="preserve">to the </w:t>
      </w:r>
      <w:r w:rsidRPr="00126F3F">
        <w:t>functions of the role, not incidental tasks or employer preference, and must be assessed by reference to the position as adjusted, not in an unmodified form.</w:t>
      </w:r>
      <w:r w:rsidRPr="00126F3F">
        <w:rPr>
          <w:vertAlign w:val="superscript"/>
        </w:rPr>
        <w:footnoteReference w:id="28"/>
      </w:r>
      <w:r w:rsidRPr="00126F3F">
        <w:t xml:space="preserve"> Incorporating these factors informs decision-making, guards against stereotypes, and ensures that incapacity is not asserted without practicable adjustments. The amendment would promote coherence across the DDA (in conjunction with Recommendations 4.25, 4.26, 4.32</w:t>
      </w:r>
      <w:r w:rsidR="00750B37">
        <w:t xml:space="preserve"> of the DRC</w:t>
      </w:r>
      <w:r w:rsidR="000D2836" w:rsidRPr="00126F3F">
        <w:t>) and</w:t>
      </w:r>
      <w:r w:rsidRPr="00126F3F">
        <w:t xml:space="preserve"> give effect to relevant CRPD requirements relating to work and employment.</w:t>
      </w:r>
      <w:r w:rsidRPr="00126F3F">
        <w:rPr>
          <w:vertAlign w:val="superscript"/>
        </w:rPr>
        <w:footnoteReference w:id="29"/>
      </w:r>
    </w:p>
    <w:p w14:paraId="39191CB3" w14:textId="37751C0E" w:rsidR="005959B6" w:rsidRPr="005959B6" w:rsidRDefault="005959B6" w:rsidP="000D2836">
      <w:pPr>
        <w:pStyle w:val="QIDANParagraph"/>
        <w:spacing w:after="240"/>
      </w:pPr>
      <w:r w:rsidRPr="005959B6">
        <w:t xml:space="preserve">Consideration should be given to inserting protections for the privacy of people with disability, who may not wish to share details such as sensitive health information for the </w:t>
      </w:r>
      <w:r w:rsidRPr="005959B6">
        <w:lastRenderedPageBreak/>
        <w:t>purposes of ‘inherent requirements’ tests.</w:t>
      </w:r>
      <w:r w:rsidR="00B17C9A">
        <w:t xml:space="preserve"> </w:t>
      </w:r>
      <w:r w:rsidRPr="005959B6">
        <w:t>Alternatively, guidance material to support people with disability and (prospective) employers may be sufficient.</w:t>
      </w:r>
    </w:p>
    <w:p w14:paraId="61805B97" w14:textId="77777777" w:rsidR="00EF47DA" w:rsidRPr="00EF47DA" w:rsidRDefault="00EF47DA" w:rsidP="00EF47DA">
      <w:pPr>
        <w:pStyle w:val="QIDANParagraph"/>
        <w:rPr>
          <w:b/>
          <w:bCs/>
          <w:color w:val="690048"/>
        </w:rPr>
      </w:pPr>
      <w:r w:rsidRPr="00EF47DA">
        <w:rPr>
          <w:b/>
          <w:bCs/>
          <w:color w:val="690048"/>
        </w:rPr>
        <w:t>A Right to Learn</w:t>
      </w:r>
    </w:p>
    <w:p w14:paraId="74A99A77" w14:textId="51A9B236" w:rsidR="00EF47DA" w:rsidRPr="00EF47DA" w:rsidRDefault="00EF47DA" w:rsidP="00EF47DA">
      <w:pPr>
        <w:pStyle w:val="QIDANParagraph"/>
      </w:pPr>
      <w:r w:rsidRPr="00EF47DA">
        <w:t xml:space="preserve">The </w:t>
      </w:r>
      <w:r w:rsidR="0096559E">
        <w:t>DRC</w:t>
      </w:r>
      <w:r w:rsidRPr="00EF47DA">
        <w:t xml:space="preserve"> recommended avoiding the use of exclusionary discipline on students with disability unless exclusion is necessary as a last resort to avert the risk of serious harm to the student, other students or staff. </w:t>
      </w:r>
      <w:r w:rsidR="002836DD">
        <w:t>Frequently, the concept of exclusionary discipline</w:t>
      </w:r>
      <w:r w:rsidR="00051C78">
        <w:t>, expulsion and suspension are</w:t>
      </w:r>
      <w:r w:rsidR="002836DD">
        <w:t xml:space="preserve"> used inter</w:t>
      </w:r>
      <w:r w:rsidR="00051C78">
        <w:t xml:space="preserve">changeably, however they </w:t>
      </w:r>
      <w:r w:rsidR="00A46DCF">
        <w:t>have different meanings and therefore the DDA sh</w:t>
      </w:r>
      <w:r w:rsidR="003C78AC">
        <w:t>ould define exclusionary discipline to avoid confusion.</w:t>
      </w:r>
      <w:r w:rsidR="00EC3411">
        <w:t xml:space="preserve"> In Queensland for example</w:t>
      </w:r>
      <w:r w:rsidR="00FC5D7A">
        <w:t xml:space="preserve">, the </w:t>
      </w:r>
      <w:r w:rsidR="00FC5D7A" w:rsidRPr="00FC5D7A">
        <w:rPr>
          <w:i/>
          <w:iCs/>
        </w:rPr>
        <w:t>Education (General Provisions) Act 2006</w:t>
      </w:r>
      <w:r w:rsidR="003C78AC">
        <w:t xml:space="preserve"> </w:t>
      </w:r>
      <w:r w:rsidR="00FC5D7A">
        <w:t>uses</w:t>
      </w:r>
      <w:r w:rsidR="009179F4">
        <w:t xml:space="preserve"> the term</w:t>
      </w:r>
      <w:r w:rsidR="00FC5D7A">
        <w:t xml:space="preserve"> “exclusion” </w:t>
      </w:r>
      <w:r w:rsidR="003F62FC">
        <w:t xml:space="preserve">when referring to expulsion or to the act of expelling a student. There are no provisions that refer to </w:t>
      </w:r>
      <w:r w:rsidR="00621054">
        <w:t xml:space="preserve">informal or temporary exclusionary discipline, like </w:t>
      </w:r>
      <w:r w:rsidR="004C61CE">
        <w:t>calling the parents to pick up their child earlier than usual or sending the student to another classroom</w:t>
      </w:r>
      <w:r w:rsidR="00133878">
        <w:t>, separating them f</w:t>
      </w:r>
      <w:r w:rsidR="009179F4">
        <w:t>rom</w:t>
      </w:r>
      <w:r w:rsidR="00133878">
        <w:t xml:space="preserve"> their peers. While</w:t>
      </w:r>
      <w:r w:rsidR="004C61CE">
        <w:t xml:space="preserve"> </w:t>
      </w:r>
      <w:r w:rsidR="00133878">
        <w:t>e</w:t>
      </w:r>
      <w:r w:rsidR="003C78AC">
        <w:t>xpulsion and suspension are a form of exclusionary discipline, they are not limited to t</w:t>
      </w:r>
      <w:r w:rsidR="00070FFF">
        <w:t xml:space="preserve">hese two forms. </w:t>
      </w:r>
      <w:r w:rsidR="00070FFF" w:rsidRPr="00070FFF">
        <w:rPr>
          <w:lang w:val="en-GB"/>
        </w:rPr>
        <w:t>‘Exclusionary discipline’ refers to the exclusion of a student from a classroom, extracurricular activities or a school in response to what is perceived as negative or disobedient behaviour. It includes suspensions, exclusion</w:t>
      </w:r>
      <w:r w:rsidR="00B76D62">
        <w:rPr>
          <w:lang w:val="en-GB"/>
        </w:rPr>
        <w:t>ary measures</w:t>
      </w:r>
      <w:r w:rsidR="00070FFF" w:rsidRPr="00070FFF">
        <w:rPr>
          <w:lang w:val="en-GB"/>
        </w:rPr>
        <w:t xml:space="preserve"> and expulsions</w:t>
      </w:r>
      <w:r w:rsidR="00070FFF">
        <w:rPr>
          <w:lang w:val="en-GB"/>
        </w:rPr>
        <w:t>, and it can be formal or informal</w:t>
      </w:r>
      <w:r w:rsidR="00AE47CB">
        <w:rPr>
          <w:lang w:val="en-GB"/>
        </w:rPr>
        <w:t>, temporary or permanent.</w:t>
      </w:r>
      <w:r w:rsidR="00AE47CB">
        <w:rPr>
          <w:rStyle w:val="FootnoteReference"/>
          <w:lang w:val="en-GB"/>
        </w:rPr>
        <w:footnoteReference w:id="30"/>
      </w:r>
    </w:p>
    <w:p w14:paraId="3F09FC3A" w14:textId="77777777" w:rsidR="00EF47DA" w:rsidRPr="00EF47DA" w:rsidRDefault="00EF47DA" w:rsidP="00EF47DA">
      <w:pPr>
        <w:pStyle w:val="QIDANParagraph"/>
      </w:pPr>
      <w:r w:rsidRPr="00EF47DA">
        <w:t>Before using exclusionary discipline on students with disability, educational authorities should be required to: </w:t>
      </w:r>
    </w:p>
    <w:p w14:paraId="7D1E0F7D" w14:textId="77777777" w:rsidR="00EF47DA" w:rsidRPr="00EF47DA" w:rsidRDefault="00EF47DA" w:rsidP="00344D63">
      <w:pPr>
        <w:pStyle w:val="QIDANParagraph"/>
        <w:ind w:left="284"/>
      </w:pPr>
      <w:r w:rsidRPr="00EF47DA">
        <w:t xml:space="preserve">(a) consult with the student with disability and their </w:t>
      </w:r>
      <w:proofErr w:type="gramStart"/>
      <w:r w:rsidRPr="00EF47DA">
        <w:t>supports;</w:t>
      </w:r>
      <w:proofErr w:type="gramEnd"/>
      <w:r w:rsidRPr="00EF47DA">
        <w:t> </w:t>
      </w:r>
    </w:p>
    <w:p w14:paraId="05452720" w14:textId="77777777" w:rsidR="00EF47DA" w:rsidRPr="00EF47DA" w:rsidRDefault="00EF47DA" w:rsidP="00344D63">
      <w:pPr>
        <w:pStyle w:val="QIDANParagraph"/>
        <w:ind w:left="284"/>
      </w:pPr>
      <w:r w:rsidRPr="00EF47DA">
        <w:t xml:space="preserve">(b) consider all available and appropriate alternative adjustments, measures or </w:t>
      </w:r>
      <w:proofErr w:type="gramStart"/>
      <w:r w:rsidRPr="00EF47DA">
        <w:t>actions;</w:t>
      </w:r>
      <w:proofErr w:type="gramEnd"/>
      <w:r w:rsidRPr="00EF47DA">
        <w:t xml:space="preserve">  </w:t>
      </w:r>
    </w:p>
    <w:p w14:paraId="48FA9BB7" w14:textId="77777777" w:rsidR="00EF47DA" w:rsidRPr="00EF47DA" w:rsidRDefault="00EF47DA" w:rsidP="00344D63">
      <w:pPr>
        <w:pStyle w:val="QIDANParagraph"/>
        <w:ind w:left="284"/>
      </w:pPr>
      <w:r w:rsidRPr="00EF47DA">
        <w:t>(c) consider the impact of exclusionary discipline on the best interests of the student and their right to education; and</w:t>
      </w:r>
    </w:p>
    <w:p w14:paraId="513491F2" w14:textId="77777777" w:rsidR="00EF47DA" w:rsidRPr="00EF47DA" w:rsidRDefault="00EF47DA" w:rsidP="00344D63">
      <w:pPr>
        <w:pStyle w:val="QIDANParagraph"/>
        <w:ind w:left="284"/>
      </w:pPr>
      <w:r w:rsidRPr="00EF47DA">
        <w:t xml:space="preserve">(d) consider the student’s disability, needs and age, and the </w:t>
      </w:r>
      <w:proofErr w:type="gramStart"/>
      <w:r w:rsidRPr="00EF47DA">
        <w:t>particular effects</w:t>
      </w:r>
      <w:proofErr w:type="gramEnd"/>
      <w:r w:rsidRPr="00EF47DA">
        <w:t xml:space="preserve"> of exclusionary discipline for young children. </w:t>
      </w:r>
    </w:p>
    <w:p w14:paraId="0A28B72E" w14:textId="77777777" w:rsidR="00EF47DA" w:rsidRPr="00EF47DA" w:rsidRDefault="00EF47DA" w:rsidP="00EF47DA">
      <w:pPr>
        <w:pStyle w:val="QIDANParagraph"/>
      </w:pPr>
      <w:r w:rsidRPr="00EF47DA">
        <w:lastRenderedPageBreak/>
        <w:t>Provisions should also be made to ensure:  </w:t>
      </w:r>
    </w:p>
    <w:p w14:paraId="57081D13" w14:textId="77777777" w:rsidR="00EF47DA" w:rsidRPr="00EF47DA" w:rsidRDefault="00EF47DA" w:rsidP="00344D63">
      <w:pPr>
        <w:pStyle w:val="QIDANParagraph"/>
        <w:ind w:left="284"/>
      </w:pPr>
      <w:r w:rsidRPr="00EF47DA">
        <w:t xml:space="preserve">(a) a duty on principals to report the repeated use of exclusionary discipline involving a student with disability to an escalation point within educational authorities for independent case </w:t>
      </w:r>
      <w:proofErr w:type="gramStart"/>
      <w:r w:rsidRPr="00EF47DA">
        <w:t>management;</w:t>
      </w:r>
      <w:proofErr w:type="gramEnd"/>
    </w:p>
    <w:p w14:paraId="6D505909" w14:textId="77777777" w:rsidR="00EF47DA" w:rsidRPr="00EF47DA" w:rsidRDefault="00EF47DA" w:rsidP="00344D63">
      <w:pPr>
        <w:pStyle w:val="QIDANParagraph"/>
        <w:ind w:left="284"/>
      </w:pPr>
      <w:r w:rsidRPr="00EF47DA">
        <w:t xml:space="preserve">(b) a robust review or appeals process for with supports for students with disability and their families or </w:t>
      </w:r>
      <w:proofErr w:type="gramStart"/>
      <w:r w:rsidRPr="00EF47DA">
        <w:t>carers;</w:t>
      </w:r>
      <w:proofErr w:type="gramEnd"/>
      <w:r w:rsidRPr="00EF47DA">
        <w:t> </w:t>
      </w:r>
    </w:p>
    <w:p w14:paraId="3E74A721" w14:textId="77777777" w:rsidR="00EF47DA" w:rsidRPr="00EF47DA" w:rsidRDefault="00EF47DA" w:rsidP="00344D63">
      <w:pPr>
        <w:pStyle w:val="QIDANParagraph"/>
        <w:ind w:left="284"/>
      </w:pPr>
      <w:r w:rsidRPr="00EF47DA">
        <w:t xml:space="preserve">(c) students with disability have access to educational materials appropriate to their educational and behavioural needs while subject to exclusionary </w:t>
      </w:r>
      <w:proofErr w:type="gramStart"/>
      <w:r w:rsidRPr="00EF47DA">
        <w:t>discipline;</w:t>
      </w:r>
      <w:proofErr w:type="gramEnd"/>
    </w:p>
    <w:p w14:paraId="1C3C7661" w14:textId="77777777" w:rsidR="00EF47DA" w:rsidRPr="00EF47DA" w:rsidRDefault="00EF47DA" w:rsidP="00344D63">
      <w:pPr>
        <w:pStyle w:val="QIDANParagraph"/>
        <w:ind w:left="284"/>
      </w:pPr>
      <w:r w:rsidRPr="00EF47DA">
        <w:t xml:space="preserve">(d) students with disability are supported to re-engage in education post </w:t>
      </w:r>
      <w:proofErr w:type="gramStart"/>
      <w:r w:rsidRPr="00EF47DA">
        <w:t>exclusion;</w:t>
      </w:r>
      <w:proofErr w:type="gramEnd"/>
    </w:p>
    <w:p w14:paraId="56963576" w14:textId="77777777" w:rsidR="00EF47DA" w:rsidRPr="00EF47DA" w:rsidRDefault="00EF47DA" w:rsidP="00344D63">
      <w:pPr>
        <w:pStyle w:val="QIDANParagraph"/>
        <w:ind w:left="284"/>
      </w:pPr>
      <w:r w:rsidRPr="00EF47DA">
        <w:t>(e) the creation and retention of documentation describing consultation and consideration; and </w:t>
      </w:r>
    </w:p>
    <w:p w14:paraId="5B8DE1FB" w14:textId="77777777" w:rsidR="00EF47DA" w:rsidRPr="00EF47DA" w:rsidRDefault="00EF47DA" w:rsidP="00344D63">
      <w:pPr>
        <w:pStyle w:val="QIDANParagraph"/>
        <w:ind w:left="284"/>
      </w:pPr>
      <w:r w:rsidRPr="00EF47DA">
        <w:t>(f) the student is provided with reasons for the decision to use exclusionary discipline.  </w:t>
      </w:r>
    </w:p>
    <w:p w14:paraId="7F16D0E4" w14:textId="6EC192AE" w:rsidR="000C35E8" w:rsidRDefault="00A33DF2" w:rsidP="00161A0D">
      <w:pPr>
        <w:pStyle w:val="QIDANParagraph"/>
      </w:pPr>
      <w:r>
        <w:t xml:space="preserve">We also call for section 22(2)(b) of the DDA </w:t>
      </w:r>
      <w:r w:rsidR="0093034F">
        <w:t>to</w:t>
      </w:r>
      <w:r>
        <w:t xml:space="preserve"> be amended to cover ‘suspension and exclusion’ as well as expulsions</w:t>
      </w:r>
      <w:r w:rsidR="0093034F">
        <w:t>, as per recommendation 7.2 of the DRC.</w:t>
      </w:r>
      <w:r w:rsidR="007A1F4D">
        <w:t xml:space="preserve"> </w:t>
      </w:r>
    </w:p>
    <w:p w14:paraId="365EE289" w14:textId="7FCCF168" w:rsidR="00D1457C" w:rsidRPr="00D1457C" w:rsidRDefault="00D1457C" w:rsidP="00161A0D">
      <w:pPr>
        <w:pStyle w:val="QIDANParagraph"/>
        <w:rPr>
          <w:lang w:val="en-US"/>
        </w:rPr>
      </w:pPr>
      <w:r>
        <w:rPr>
          <w:lang w:val="en-US"/>
        </w:rPr>
        <w:t>Recent</w:t>
      </w:r>
      <w:r w:rsidR="002C4FA7">
        <w:rPr>
          <w:lang w:val="en-US"/>
        </w:rPr>
        <w:t xml:space="preserve"> </w:t>
      </w:r>
      <w:hyperlink r:id="rId13">
        <w:r w:rsidR="4A3B2BDB" w:rsidRPr="29BB67C7">
          <w:rPr>
            <w:rStyle w:val="Hyperlink"/>
            <w:lang w:val="en-US"/>
          </w:rPr>
          <w:t>Queensland</w:t>
        </w:r>
        <w:r w:rsidR="63FCB0FE" w:rsidRPr="29BB67C7">
          <w:rPr>
            <w:rStyle w:val="Hyperlink"/>
            <w:lang w:val="en-US"/>
          </w:rPr>
          <w:t xml:space="preserve"> data</w:t>
        </w:r>
      </w:hyperlink>
      <w:r>
        <w:rPr>
          <w:lang w:val="en-US"/>
        </w:rPr>
        <w:t xml:space="preserve"> </w:t>
      </w:r>
      <w:r w:rsidRPr="00D1457C">
        <w:rPr>
          <w:lang w:val="en-US"/>
        </w:rPr>
        <w:t>reveal</w:t>
      </w:r>
      <w:r w:rsidR="002C4FA7">
        <w:rPr>
          <w:lang w:val="en-US"/>
        </w:rPr>
        <w:t>ed</w:t>
      </w:r>
      <w:r w:rsidRPr="00D1457C">
        <w:rPr>
          <w:lang w:val="en-US"/>
        </w:rPr>
        <w:t xml:space="preserve"> a systemic failure </w:t>
      </w:r>
      <w:r w:rsidR="00141680">
        <w:rPr>
          <w:lang w:val="en-US"/>
        </w:rPr>
        <w:t>where</w:t>
      </w:r>
      <w:r w:rsidRPr="00D1457C">
        <w:rPr>
          <w:lang w:val="en-US"/>
        </w:rPr>
        <w:t xml:space="preserve"> schools are suspending disabled students at alarming rates and it </w:t>
      </w:r>
      <w:r w:rsidR="00AA364B">
        <w:rPr>
          <w:lang w:val="en-US"/>
        </w:rPr>
        <w:t xml:space="preserve">is </w:t>
      </w:r>
      <w:r w:rsidRPr="00D1457C">
        <w:rPr>
          <w:lang w:val="en-US"/>
        </w:rPr>
        <w:t xml:space="preserve">getting worse. </w:t>
      </w:r>
      <w:r w:rsidR="484A4536">
        <w:t>S</w:t>
      </w:r>
      <w:r w:rsidR="0F1DB402">
        <w:t>tudents</w:t>
      </w:r>
      <w:r w:rsidR="2E063410">
        <w:t xml:space="preserve"> with disability</w:t>
      </w:r>
      <w:r w:rsidR="0F1DB402">
        <w:t xml:space="preserve"> </w:t>
      </w:r>
      <w:r w:rsidR="00A6789E">
        <w:t xml:space="preserve">are roughly 25% of the student cohort, but in term 2 </w:t>
      </w:r>
      <w:r w:rsidR="009D7999">
        <w:t>of 2025</w:t>
      </w:r>
      <w:r w:rsidR="00A6789E">
        <w:t xml:space="preserve"> they made up 64% of suspended students in Q</w:t>
      </w:r>
      <w:r w:rsidR="009D7999">
        <w:t>ueensland</w:t>
      </w:r>
      <w:r w:rsidR="00A6789E">
        <w:t>.</w:t>
      </w:r>
      <w:r w:rsidR="00A4563F">
        <w:t xml:space="preserve"> </w:t>
      </w:r>
    </w:p>
    <w:p w14:paraId="4329C231" w14:textId="682AA751" w:rsidR="00D1457C" w:rsidRDefault="003521EB" w:rsidP="00161A0D">
      <w:pPr>
        <w:pStyle w:val="QIDANParagraph"/>
        <w:rPr>
          <w:lang w:val="en-US"/>
        </w:rPr>
      </w:pPr>
      <w:r>
        <w:rPr>
          <w:lang w:val="en-US"/>
        </w:rPr>
        <w:t>As we mentioned before, f</w:t>
      </w:r>
      <w:r w:rsidR="00D1457C" w:rsidRPr="00D1457C">
        <w:rPr>
          <w:lang w:val="en-US"/>
        </w:rPr>
        <w:t xml:space="preserve">rom </w:t>
      </w:r>
      <w:hyperlink r:id="rId14">
        <w:r w:rsidR="00D1457C" w:rsidRPr="00D1457C">
          <w:rPr>
            <w:rStyle w:val="Hyperlink"/>
            <w:lang w:val="en-US"/>
          </w:rPr>
          <w:t>existing economic cost analysis</w:t>
        </w:r>
      </w:hyperlink>
      <w:r w:rsidR="00D1457C" w:rsidRPr="00D1457C">
        <w:rPr>
          <w:lang w:val="en-US"/>
        </w:rPr>
        <w:t xml:space="preserve">, we know that managing suspensions wastes $20 million annually, while families are losing </w:t>
      </w:r>
      <w:r w:rsidR="62F80998" w:rsidRPr="29BB67C7">
        <w:rPr>
          <w:lang w:val="en-US"/>
        </w:rPr>
        <w:t xml:space="preserve">at least </w:t>
      </w:r>
      <w:r w:rsidR="00D1457C" w:rsidRPr="00D1457C">
        <w:rPr>
          <w:lang w:val="en-US"/>
        </w:rPr>
        <w:t>$14 million in income. That</w:t>
      </w:r>
      <w:r>
        <w:rPr>
          <w:lang w:val="en-US"/>
        </w:rPr>
        <w:t xml:space="preserve"> is</w:t>
      </w:r>
      <w:r w:rsidR="00D1457C" w:rsidRPr="00D1457C">
        <w:rPr>
          <w:lang w:val="en-US"/>
        </w:rPr>
        <w:t xml:space="preserve"> money that could create inclusive classrooms across Queensland, instead of funding exclusion</w:t>
      </w:r>
      <w:r w:rsidR="00AD6252">
        <w:rPr>
          <w:lang w:val="en-US"/>
        </w:rPr>
        <w:t>ary discipline</w:t>
      </w:r>
      <w:r w:rsidR="00D1457C" w:rsidRPr="00D1457C">
        <w:rPr>
          <w:lang w:val="en-US"/>
        </w:rPr>
        <w:t xml:space="preserve">. </w:t>
      </w:r>
    </w:p>
    <w:p w14:paraId="270AF22A" w14:textId="19A639DB" w:rsidR="00470CC5" w:rsidRDefault="00C97129" w:rsidP="00161A0D">
      <w:pPr>
        <w:pStyle w:val="QIDANParagraph"/>
        <w:rPr>
          <w:lang w:val="en-US"/>
        </w:rPr>
      </w:pPr>
      <w:r>
        <w:rPr>
          <w:lang w:val="en-US"/>
        </w:rPr>
        <w:t xml:space="preserve">The “Include me, don’t exclude me” report by the Queensland Family &amp; Child Commission </w:t>
      </w:r>
      <w:r w:rsidR="0039224D">
        <w:rPr>
          <w:lang w:val="en-US"/>
        </w:rPr>
        <w:t>shared the experiences of children and young people who have been suspended or excluded from Queensland state schools.</w:t>
      </w:r>
      <w:r w:rsidR="00650B49">
        <w:rPr>
          <w:rStyle w:val="FootnoteReference"/>
          <w:lang w:val="en-US"/>
        </w:rPr>
        <w:footnoteReference w:id="31"/>
      </w:r>
      <w:r w:rsidR="0039224D">
        <w:rPr>
          <w:lang w:val="en-US"/>
        </w:rPr>
        <w:t xml:space="preserve"> </w:t>
      </w:r>
      <w:r w:rsidR="00097F77">
        <w:rPr>
          <w:lang w:val="en-US"/>
        </w:rPr>
        <w:t>They</w:t>
      </w:r>
      <w:r w:rsidR="0015100A">
        <w:rPr>
          <w:lang w:val="en-US"/>
        </w:rPr>
        <w:t xml:space="preserve"> recommend school disciplinary absences should be used as a last resort, and</w:t>
      </w:r>
      <w:r w:rsidR="00D278CF">
        <w:rPr>
          <w:lang w:val="en-US"/>
        </w:rPr>
        <w:t xml:space="preserve"> suggest</w:t>
      </w:r>
      <w:r w:rsidR="00097F77">
        <w:rPr>
          <w:lang w:val="en-US"/>
        </w:rPr>
        <w:t xml:space="preserve"> </w:t>
      </w:r>
      <w:r w:rsidR="00D278CF" w:rsidRPr="00D278CF">
        <w:rPr>
          <w:lang w:val="en-US"/>
        </w:rPr>
        <w:t xml:space="preserve">changes to the disciplinary process to adopt </w:t>
      </w:r>
      <w:r w:rsidR="00D278CF" w:rsidRPr="00D278CF">
        <w:rPr>
          <w:lang w:val="en-US"/>
        </w:rPr>
        <w:lastRenderedPageBreak/>
        <w:t>the values of child rights and child-</w:t>
      </w:r>
      <w:r w:rsidR="00762148" w:rsidRPr="00D278CF">
        <w:rPr>
          <w:lang w:val="en-US"/>
        </w:rPr>
        <w:t>centered</w:t>
      </w:r>
      <w:r w:rsidR="00D278CF" w:rsidRPr="00D278CF">
        <w:rPr>
          <w:lang w:val="en-US"/>
        </w:rPr>
        <w:t xml:space="preserve"> education across</w:t>
      </w:r>
      <w:r w:rsidR="00D278CF">
        <w:rPr>
          <w:lang w:val="en-US"/>
        </w:rPr>
        <w:t xml:space="preserve"> </w:t>
      </w:r>
      <w:r w:rsidR="00D278CF" w:rsidRPr="00D278CF">
        <w:rPr>
          <w:lang w:val="en-US"/>
        </w:rPr>
        <w:t>legislation, policy, and procedure</w:t>
      </w:r>
      <w:r w:rsidR="00D278CF">
        <w:rPr>
          <w:lang w:val="en-US"/>
        </w:rPr>
        <w:t xml:space="preserve">, which would require </w:t>
      </w:r>
      <w:r w:rsidR="00FB4A63">
        <w:rPr>
          <w:lang w:val="en-US"/>
        </w:rPr>
        <w:t>adequately resourcing teachers and schools.</w:t>
      </w:r>
    </w:p>
    <w:p w14:paraId="4DD0EFF4" w14:textId="756F28BE" w:rsidR="00161A0D" w:rsidRDefault="00161A0D" w:rsidP="00161A0D">
      <w:pPr>
        <w:pStyle w:val="QIDANParagraph"/>
        <w:rPr>
          <w:lang w:val="en-US"/>
        </w:rPr>
      </w:pPr>
      <w:r w:rsidRPr="00161A0D">
        <w:rPr>
          <w:lang w:val="en-US"/>
        </w:rPr>
        <w:t xml:space="preserve">The </w:t>
      </w:r>
      <w:r w:rsidR="00666C4E">
        <w:rPr>
          <w:lang w:val="en-US"/>
        </w:rPr>
        <w:t>DRC</w:t>
      </w:r>
      <w:r w:rsidRPr="00161A0D">
        <w:rPr>
          <w:lang w:val="en-US"/>
        </w:rPr>
        <w:t xml:space="preserve"> was clear: suspension must become a last resort. But right now, for students</w:t>
      </w:r>
      <w:r w:rsidR="401BC0BE" w:rsidRPr="29BB67C7">
        <w:rPr>
          <w:lang w:val="en-US"/>
        </w:rPr>
        <w:t xml:space="preserve"> with </w:t>
      </w:r>
      <w:proofErr w:type="gramStart"/>
      <w:r w:rsidR="401BC0BE" w:rsidRPr="29BB67C7">
        <w:rPr>
          <w:lang w:val="en-US"/>
        </w:rPr>
        <w:t>disability</w:t>
      </w:r>
      <w:proofErr w:type="gramEnd"/>
      <w:r w:rsidRPr="00161A0D">
        <w:rPr>
          <w:lang w:val="en-US"/>
        </w:rPr>
        <w:t>, it</w:t>
      </w:r>
      <w:r w:rsidR="00AA364B">
        <w:rPr>
          <w:lang w:val="en-US"/>
        </w:rPr>
        <w:t xml:space="preserve"> is</w:t>
      </w:r>
      <w:r w:rsidRPr="00161A0D">
        <w:rPr>
          <w:lang w:val="en-US"/>
        </w:rPr>
        <w:t xml:space="preserve"> often the first resort. We need complete system redesign with students </w:t>
      </w:r>
      <w:r w:rsidR="7AA9E314" w:rsidRPr="29BB67C7">
        <w:rPr>
          <w:lang w:val="en-US"/>
        </w:rPr>
        <w:t xml:space="preserve">with </w:t>
      </w:r>
      <w:proofErr w:type="gramStart"/>
      <w:r w:rsidR="7AA9E314" w:rsidRPr="29BB67C7">
        <w:rPr>
          <w:lang w:val="en-US"/>
        </w:rPr>
        <w:t>disability</w:t>
      </w:r>
      <w:proofErr w:type="gramEnd"/>
      <w:r w:rsidR="7AA9E314" w:rsidRPr="29BB67C7">
        <w:rPr>
          <w:lang w:val="en-US"/>
        </w:rPr>
        <w:t xml:space="preserve"> </w:t>
      </w:r>
      <w:r w:rsidRPr="00161A0D">
        <w:rPr>
          <w:lang w:val="en-US"/>
        </w:rPr>
        <w:t>and families leading the way - not tweaking around the edges. When schools create inclusive environments designed by and with students</w:t>
      </w:r>
      <w:r w:rsidR="6635A835" w:rsidRPr="29BB67C7">
        <w:rPr>
          <w:lang w:val="en-US"/>
        </w:rPr>
        <w:t xml:space="preserve"> with </w:t>
      </w:r>
      <w:proofErr w:type="gramStart"/>
      <w:r w:rsidR="6635A835" w:rsidRPr="29BB67C7">
        <w:rPr>
          <w:lang w:val="en-US"/>
        </w:rPr>
        <w:t>disability</w:t>
      </w:r>
      <w:proofErr w:type="gramEnd"/>
      <w:r w:rsidRPr="00161A0D">
        <w:rPr>
          <w:lang w:val="en-US"/>
        </w:rPr>
        <w:t>, all students benefit from stronger learning communities, and we stop this pipeline from classroom to courtroom.</w:t>
      </w:r>
    </w:p>
    <w:p w14:paraId="6193B374" w14:textId="2D2C6BDC" w:rsidR="008B0CFF" w:rsidRPr="00161A0D" w:rsidRDefault="008B0CFF" w:rsidP="00161A0D">
      <w:pPr>
        <w:pStyle w:val="QIDANParagraph"/>
        <w:rPr>
          <w:lang w:val="en-US"/>
        </w:rPr>
      </w:pPr>
      <w:r>
        <w:rPr>
          <w:lang w:val="en-US"/>
        </w:rPr>
        <w:t xml:space="preserve">Amending the DDA </w:t>
      </w:r>
      <w:r w:rsidR="00D60BE5">
        <w:rPr>
          <w:lang w:val="en-US"/>
        </w:rPr>
        <w:t>gives us an opportunity to protect our children</w:t>
      </w:r>
      <w:r w:rsidR="00AA3780">
        <w:rPr>
          <w:lang w:val="en-US"/>
        </w:rPr>
        <w:t>’s right to learn.</w:t>
      </w:r>
    </w:p>
    <w:p w14:paraId="74F5620B" w14:textId="77777777" w:rsidR="005D197B" w:rsidRDefault="005D197B" w:rsidP="00511AFC">
      <w:pPr>
        <w:spacing w:before="240" w:line="360" w:lineRule="auto"/>
        <w:rPr>
          <w:rFonts w:ascii="Nunito Sans" w:hAnsi="Nunito Sans"/>
          <w:b/>
          <w:bCs/>
        </w:rPr>
      </w:pPr>
      <w:r w:rsidRPr="308FB332">
        <w:rPr>
          <w:rFonts w:ascii="Nunito Sans" w:hAnsi="Nunito Sans"/>
          <w:b/>
          <w:bCs/>
        </w:rPr>
        <w:t>Case study</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tblBorders>
        <w:tblLook w:val="04A0" w:firstRow="1" w:lastRow="0" w:firstColumn="1" w:lastColumn="0" w:noHBand="0" w:noVBand="1"/>
      </w:tblPr>
      <w:tblGrid>
        <w:gridCol w:w="9727"/>
      </w:tblGrid>
      <w:tr w:rsidR="00CA504F" w14:paraId="4A8450BF" w14:textId="77777777" w:rsidTr="00547132">
        <w:tc>
          <w:tcPr>
            <w:tcW w:w="9737" w:type="dxa"/>
          </w:tcPr>
          <w:p w14:paraId="1CABB3D2" w14:textId="59F4A468" w:rsidR="004C17E8" w:rsidRPr="00CA504F" w:rsidRDefault="004C17E8" w:rsidP="004C17E8">
            <w:pPr>
              <w:spacing w:line="360" w:lineRule="auto"/>
              <w:rPr>
                <w:rFonts w:ascii="Nunito Sans" w:hAnsi="Nunito Sans"/>
                <w:lang w:val="en-AU"/>
              </w:rPr>
            </w:pPr>
            <w:r w:rsidRPr="00CA504F">
              <w:rPr>
                <w:rFonts w:ascii="Nunito Sans" w:hAnsi="Nunito Sans"/>
                <w:lang w:val="en-AU"/>
              </w:rPr>
              <w:t>Georgia</w:t>
            </w:r>
            <w:r>
              <w:rPr>
                <w:rFonts w:ascii="Nunito Sans" w:hAnsi="Nunito Sans"/>
                <w:lang w:val="en-AU"/>
              </w:rPr>
              <w:t>*</w:t>
            </w:r>
            <w:r w:rsidRPr="00CA504F">
              <w:rPr>
                <w:rFonts w:ascii="Nunito Sans" w:hAnsi="Nunito Sans"/>
                <w:lang w:val="en-AU"/>
              </w:rPr>
              <w:t xml:space="preserve"> contacted QAI’s Young People’s Program to seek advice regarding her 14-year-old daughter, Maddy</w:t>
            </w:r>
            <w:r>
              <w:rPr>
                <w:rFonts w:ascii="Nunito Sans" w:hAnsi="Nunito Sans"/>
                <w:lang w:val="en-AU"/>
              </w:rPr>
              <w:t>*</w:t>
            </w:r>
            <w:r w:rsidRPr="00CA504F">
              <w:rPr>
                <w:rFonts w:ascii="Nunito Sans" w:hAnsi="Nunito Sans"/>
                <w:lang w:val="en-AU"/>
              </w:rPr>
              <w:t>. Maddy has a physical impairment, an intellectual disability, is non-verbal, and uses Augmentative and Alternative Communication (AAC) to communicate. After a challenging primary school experience where Georgia consistently advocated for inclusive education, Maddy had been attending her local state high school with the appropriate adjustments that enabled her to access education on the same basis as her peers, and her educational journey had been progressing positively. </w:t>
            </w:r>
          </w:p>
          <w:p w14:paraId="021E4966" w14:textId="77777777" w:rsidR="004C17E8" w:rsidRPr="00CA504F" w:rsidRDefault="004C17E8" w:rsidP="004C17E8">
            <w:pPr>
              <w:spacing w:line="360" w:lineRule="auto"/>
              <w:rPr>
                <w:rFonts w:ascii="Nunito Sans" w:hAnsi="Nunito Sans"/>
                <w:lang w:val="en-AU"/>
              </w:rPr>
            </w:pPr>
            <w:r w:rsidRPr="00CA504F">
              <w:rPr>
                <w:rFonts w:ascii="Nunito Sans" w:hAnsi="Nunito Sans"/>
                <w:lang w:val="en-AU"/>
              </w:rPr>
              <w:t>This changed when the school proposed a significant alteration to Maddy’s timetable. The new arrangement involved removing Maddy from two of her current mainstream classes and placing her in what the school described as “specialised intensive classrooms.” These classrooms were reportedly designed for students with higher support needs, but the school did not provide clarity around the cohort’s composition. The change meant Maddy would be removed from her established peer group and the friendships she had developed and placed into a different educational setting without proper explanation or consultation. </w:t>
            </w:r>
          </w:p>
          <w:p w14:paraId="5EF273D1" w14:textId="73C736D4" w:rsidR="004C17E8" w:rsidRPr="00CA504F" w:rsidRDefault="004C17E8" w:rsidP="004C17E8">
            <w:pPr>
              <w:spacing w:line="360" w:lineRule="auto"/>
              <w:rPr>
                <w:rFonts w:ascii="Nunito Sans" w:hAnsi="Nunito Sans"/>
                <w:lang w:val="en-AU"/>
              </w:rPr>
            </w:pPr>
            <w:r w:rsidRPr="00CA504F">
              <w:rPr>
                <w:rFonts w:ascii="Nunito Sans" w:hAnsi="Nunito Sans"/>
                <w:lang w:val="en-AU"/>
              </w:rPr>
              <w:t xml:space="preserve">Georgia expressed strong concerns about the proposed change and formally communicated her objections to the school. Despite </w:t>
            </w:r>
            <w:r w:rsidR="0049122D">
              <w:rPr>
                <w:rFonts w:ascii="Nunito Sans" w:hAnsi="Nunito Sans"/>
                <w:lang w:val="en-AU"/>
              </w:rPr>
              <w:t>this</w:t>
            </w:r>
            <w:r w:rsidRPr="00CA504F">
              <w:rPr>
                <w:rFonts w:ascii="Nunito Sans" w:hAnsi="Nunito Sans"/>
                <w:lang w:val="en-AU"/>
              </w:rPr>
              <w:t xml:space="preserve">, the school maintained that the </w:t>
            </w:r>
            <w:r w:rsidRPr="00CA504F">
              <w:rPr>
                <w:rFonts w:ascii="Nunito Sans" w:hAnsi="Nunito Sans"/>
                <w:lang w:val="en-AU"/>
              </w:rPr>
              <w:lastRenderedPageBreak/>
              <w:t>transition to the specialised classroom setting was a reasonable adjustment and asserted that they knew what was best for Maddy in the educational context. The final decision was presented to the family just two days before the end of the school term, leaving very little time for Maddy to prepare for such a substantial shift. Furthermore, the proposal lacked detail around key elements, including physical accessibility, continuity of Maddy’s individualised curriculum, the makeup of her new peer group, and how the transition would be supported. There was also no discussion about how the new classroom would accommodate her AAC device without disrupting the existing setup in her home room. </w:t>
            </w:r>
          </w:p>
          <w:p w14:paraId="165207C0" w14:textId="664ACDBC" w:rsidR="004C17E8" w:rsidRPr="00CA504F" w:rsidRDefault="004C17E8" w:rsidP="004C17E8">
            <w:pPr>
              <w:spacing w:line="360" w:lineRule="auto"/>
              <w:rPr>
                <w:rFonts w:ascii="Nunito Sans" w:hAnsi="Nunito Sans"/>
                <w:lang w:val="en-AU"/>
              </w:rPr>
            </w:pPr>
            <w:r w:rsidRPr="00CA504F">
              <w:rPr>
                <w:rFonts w:ascii="Nunito Sans" w:hAnsi="Nunito Sans"/>
                <w:lang w:val="en-AU"/>
              </w:rPr>
              <w:t>Given the short notice and lack of clarity, Georgia was deeply concerned that the transition would not adequately support Maddy’s learning or wellbeing. An advocate from QAI discussed the situation with her and recommended she seek legal advice. Georgia was subsequently connected with a human rights solicitor. The advocate also encouraged her to request a delay to the transition, allowing time to properly prepare and ensure that Maddy’s needs would be met in any new learning environment. </w:t>
            </w:r>
          </w:p>
          <w:p w14:paraId="64000DAA" w14:textId="709FFD81" w:rsidR="004C17E8" w:rsidRPr="00CA504F" w:rsidRDefault="004C17E8" w:rsidP="004C17E8">
            <w:pPr>
              <w:spacing w:line="360" w:lineRule="auto"/>
              <w:rPr>
                <w:rFonts w:ascii="Nunito Sans" w:hAnsi="Nunito Sans"/>
                <w:lang w:val="en-AU"/>
              </w:rPr>
            </w:pPr>
            <w:r w:rsidRPr="00CA504F">
              <w:rPr>
                <w:rFonts w:ascii="Nunito Sans" w:hAnsi="Nunito Sans"/>
                <w:lang w:val="en-AU"/>
              </w:rPr>
              <w:t>Due to previous negative experiences within the education system, Georgia was particularly mindful of maintaining a cooperative relationship with the school. As a result, despite her strong belief that Maddy belonged in her mainstream classes with her peers, where any required adjustments could still be implemented, she agreed to a short trial period of the new arrangement as a compromise. </w:t>
            </w:r>
          </w:p>
          <w:p w14:paraId="71192672" w14:textId="77777777" w:rsidR="004C17E8" w:rsidRPr="00CA504F" w:rsidRDefault="004C17E8" w:rsidP="004C17E8">
            <w:pPr>
              <w:spacing w:line="360" w:lineRule="auto"/>
              <w:rPr>
                <w:rFonts w:ascii="Nunito Sans" w:hAnsi="Nunito Sans"/>
                <w:lang w:val="en-AU"/>
              </w:rPr>
            </w:pPr>
            <w:r w:rsidRPr="00CA504F">
              <w:rPr>
                <w:rFonts w:ascii="Nunito Sans" w:hAnsi="Nunito Sans"/>
                <w:lang w:val="en-AU"/>
              </w:rPr>
              <w:t>While the school claimed to have consulted with the family, there was no meaningful acknowledgment of Georgia’s concerns, and it appeared the school intended to proceed with the changes. Ongoing advocacy efforts resulted in a brief delay in implementing the new timetable, allowing additional time to prepare Maddy for the transition. Advocacy is continuing to monitor and assess the effectiveness and appropriateness of the new classroom arrangement, to ensure that Maddy’s rights and educational needs are upheld. </w:t>
            </w:r>
          </w:p>
          <w:p w14:paraId="7B3C11D0" w14:textId="537E2A20" w:rsidR="00CA504F" w:rsidRPr="004C17E8" w:rsidRDefault="004C17E8" w:rsidP="005D197B">
            <w:pPr>
              <w:spacing w:line="360" w:lineRule="auto"/>
              <w:rPr>
                <w:rFonts w:ascii="Nunito Sans" w:hAnsi="Nunito Sans"/>
              </w:rPr>
            </w:pPr>
            <w:r w:rsidRPr="00C262F2">
              <w:rPr>
                <w:rFonts w:ascii="Nunito Sans" w:eastAsia="Calibri" w:hAnsi="Nunito Sans" w:cs="Calibri"/>
                <w:i/>
                <w:iCs/>
              </w:rPr>
              <w:t>*Name has been changed for confidentiality purposes</w:t>
            </w:r>
          </w:p>
        </w:tc>
      </w:tr>
    </w:tbl>
    <w:p w14:paraId="33C2369E" w14:textId="24CFA0EC" w:rsidR="005D197B" w:rsidRDefault="00034326" w:rsidP="005D197B">
      <w:pPr>
        <w:pStyle w:val="Heading1"/>
        <w:rPr>
          <w:rFonts w:ascii="Nunito Sans" w:hAnsi="Nunito Sans" w:cs="Poppins SemiBold"/>
          <w:b/>
          <w:bCs/>
          <w:color w:val="690048"/>
          <w:sz w:val="28"/>
          <w:szCs w:val="28"/>
        </w:rPr>
      </w:pPr>
      <w:bookmarkStart w:id="7" w:name="_Toc212816949"/>
      <w:r>
        <w:rPr>
          <w:rFonts w:ascii="Nunito Sans" w:hAnsi="Nunito Sans" w:cs="Poppins SemiBold"/>
          <w:b/>
          <w:bCs/>
          <w:color w:val="690048"/>
          <w:sz w:val="28"/>
          <w:szCs w:val="28"/>
        </w:rPr>
        <w:lastRenderedPageBreak/>
        <w:t xml:space="preserve">Extend protections </w:t>
      </w:r>
      <w:r w:rsidR="00C108C7">
        <w:rPr>
          <w:rFonts w:ascii="Nunito Sans" w:hAnsi="Nunito Sans" w:cs="Poppins SemiBold"/>
          <w:b/>
          <w:bCs/>
          <w:color w:val="690048"/>
          <w:sz w:val="28"/>
          <w:szCs w:val="28"/>
        </w:rPr>
        <w:t>to people with disability experiencing harassment and vilification</w:t>
      </w:r>
      <w:bookmarkEnd w:id="7"/>
    </w:p>
    <w:p w14:paraId="0A33EC4F" w14:textId="425885BE" w:rsidR="001A7C79" w:rsidRDefault="001A7C79" w:rsidP="00A226EF">
      <w:pPr>
        <w:spacing w:line="360" w:lineRule="auto"/>
        <w:rPr>
          <w:rFonts w:ascii="Nunito Sans" w:hAnsi="Nunito Sans"/>
        </w:rPr>
      </w:pPr>
      <w:r>
        <w:rPr>
          <w:rFonts w:ascii="Nunito Sans" w:hAnsi="Nunito Sans"/>
        </w:rPr>
        <w:t xml:space="preserve">This section answers questions </w:t>
      </w:r>
      <w:r w:rsidR="00C50469">
        <w:rPr>
          <w:rFonts w:ascii="Nunito Sans" w:hAnsi="Nunito Sans"/>
        </w:rPr>
        <w:t>27 to 32 of the Issues Paper.</w:t>
      </w:r>
    </w:p>
    <w:p w14:paraId="22627105" w14:textId="7C0C2A49" w:rsidR="00603827" w:rsidRDefault="00480917" w:rsidP="005D197B">
      <w:pPr>
        <w:spacing w:line="360" w:lineRule="auto"/>
        <w:rPr>
          <w:rFonts w:ascii="Nunito Sans" w:hAnsi="Nunito Sans"/>
        </w:rPr>
      </w:pPr>
      <w:r>
        <w:rPr>
          <w:rFonts w:ascii="Nunito Sans" w:hAnsi="Nunito Sans"/>
        </w:rPr>
        <w:t>A</w:t>
      </w:r>
      <w:r w:rsidR="001A7C79">
        <w:rPr>
          <w:rFonts w:ascii="Nunito Sans" w:hAnsi="Nunito Sans"/>
        </w:rPr>
        <w:t>s</w:t>
      </w:r>
      <w:r>
        <w:rPr>
          <w:rFonts w:ascii="Nunito Sans" w:hAnsi="Nunito Sans"/>
        </w:rPr>
        <w:t xml:space="preserve"> per recommendation 4.29</w:t>
      </w:r>
      <w:r w:rsidR="000F4A88">
        <w:rPr>
          <w:rFonts w:ascii="Nunito Sans" w:hAnsi="Nunito Sans"/>
        </w:rPr>
        <w:t xml:space="preserve"> of the DRC, the </w:t>
      </w:r>
      <w:r w:rsidRPr="00480917">
        <w:rPr>
          <w:rFonts w:ascii="Nunito Sans" w:hAnsi="Nunito Sans"/>
        </w:rPr>
        <w:t>DDA</w:t>
      </w:r>
      <w:r w:rsidR="000F4A88">
        <w:rPr>
          <w:rFonts w:ascii="Nunito Sans" w:hAnsi="Nunito Sans"/>
        </w:rPr>
        <w:t xml:space="preserve"> should</w:t>
      </w:r>
      <w:r w:rsidRPr="00480917">
        <w:rPr>
          <w:rFonts w:ascii="Nunito Sans" w:hAnsi="Nunito Sans"/>
        </w:rPr>
        <w:t xml:space="preserve"> be amended to include a standalone prohibition on offensive behaviour, </w:t>
      </w:r>
      <w:proofErr w:type="gramStart"/>
      <w:r w:rsidR="000F4A88">
        <w:rPr>
          <w:rFonts w:ascii="Nunito Sans" w:hAnsi="Nunito Sans"/>
        </w:rPr>
        <w:t>similar to</w:t>
      </w:r>
      <w:proofErr w:type="gramEnd"/>
      <w:r w:rsidRPr="00480917">
        <w:rPr>
          <w:rFonts w:ascii="Nunito Sans" w:hAnsi="Nunito Sans"/>
        </w:rPr>
        <w:t xml:space="preserve"> section 18</w:t>
      </w:r>
      <w:r w:rsidR="00265E7F">
        <w:rPr>
          <w:rFonts w:ascii="Nunito Sans" w:hAnsi="Nunito Sans"/>
        </w:rPr>
        <w:t>D</w:t>
      </w:r>
      <w:r w:rsidRPr="00480917">
        <w:rPr>
          <w:rFonts w:ascii="Nunito Sans" w:hAnsi="Nunito Sans"/>
        </w:rPr>
        <w:t xml:space="preserve"> of the </w:t>
      </w:r>
      <w:r w:rsidRPr="000F4A88">
        <w:rPr>
          <w:rFonts w:ascii="Nunito Sans" w:hAnsi="Nunito Sans"/>
          <w:i/>
          <w:iCs/>
        </w:rPr>
        <w:t>Racial Discrimination Act</w:t>
      </w:r>
      <w:r w:rsidRPr="00480917">
        <w:rPr>
          <w:rFonts w:ascii="Nunito Sans" w:hAnsi="Nunito Sans"/>
        </w:rPr>
        <w:t xml:space="preserve">. </w:t>
      </w:r>
      <w:r w:rsidR="00876243">
        <w:rPr>
          <w:rFonts w:ascii="Nunito Sans" w:hAnsi="Nunito Sans"/>
        </w:rPr>
        <w:t xml:space="preserve">We support </w:t>
      </w:r>
      <w:r w:rsidR="00AF1785">
        <w:rPr>
          <w:rFonts w:ascii="Nunito Sans" w:hAnsi="Nunito Sans"/>
        </w:rPr>
        <w:t xml:space="preserve">the inclusion of exemptions </w:t>
      </w:r>
      <w:r w:rsidR="00603827">
        <w:rPr>
          <w:rFonts w:ascii="Nunito Sans" w:hAnsi="Nunito Sans"/>
        </w:rPr>
        <w:t>to be modelled off section 18C of the Racial Discrimination Act, set out below:</w:t>
      </w:r>
    </w:p>
    <w:p w14:paraId="0C576073"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Section 18C does not render unlawful anything said or done reasonably and in good faith:</w:t>
      </w:r>
    </w:p>
    <w:p w14:paraId="0F1BC60A"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 (a) in the performance, exhibition or distribution of an artistic work; or</w:t>
      </w:r>
    </w:p>
    <w:p w14:paraId="37893231"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 (b) </w:t>
      </w:r>
      <w:proofErr w:type="gramStart"/>
      <w:r w:rsidRPr="000A60A4">
        <w:rPr>
          <w:rFonts w:ascii="Nunito Sans" w:hAnsi="Nunito Sans"/>
          <w:lang w:val="en-AU"/>
        </w:rPr>
        <w:t>in the course of</w:t>
      </w:r>
      <w:proofErr w:type="gramEnd"/>
      <w:r w:rsidRPr="000A60A4">
        <w:rPr>
          <w:rFonts w:ascii="Nunito Sans" w:hAnsi="Nunito Sans"/>
          <w:lang w:val="en-AU"/>
        </w:rPr>
        <w:t xml:space="preserve"> any statement, publication, discussion or debate made or held for any genuine academic, artistic or scientific purpose or any other genuine purpose in the public interest; or</w:t>
      </w:r>
    </w:p>
    <w:p w14:paraId="2557635C"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 (c) in making or publishing:</w:t>
      </w:r>
    </w:p>
    <w:p w14:paraId="248B86EE"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 (</w:t>
      </w:r>
      <w:proofErr w:type="spellStart"/>
      <w:r w:rsidRPr="000A60A4">
        <w:rPr>
          <w:rFonts w:ascii="Nunito Sans" w:hAnsi="Nunito Sans"/>
          <w:lang w:val="en-AU"/>
        </w:rPr>
        <w:t>i</w:t>
      </w:r>
      <w:proofErr w:type="spellEnd"/>
      <w:r w:rsidRPr="000A60A4">
        <w:rPr>
          <w:rFonts w:ascii="Nunito Sans" w:hAnsi="Nunito Sans"/>
          <w:lang w:val="en-AU"/>
        </w:rPr>
        <w:t>) a fair and accurate report of any event or matter of public interest; or</w:t>
      </w:r>
    </w:p>
    <w:p w14:paraId="17C42F61" w14:textId="77777777" w:rsidR="000A60A4" w:rsidRPr="000A60A4" w:rsidRDefault="000A60A4" w:rsidP="00344D63">
      <w:pPr>
        <w:spacing w:line="360" w:lineRule="auto"/>
        <w:ind w:left="284"/>
        <w:rPr>
          <w:rFonts w:ascii="Nunito Sans" w:hAnsi="Nunito Sans"/>
          <w:lang w:val="en-AU"/>
        </w:rPr>
      </w:pPr>
      <w:r w:rsidRPr="000A60A4">
        <w:rPr>
          <w:rFonts w:ascii="Nunito Sans" w:hAnsi="Nunito Sans"/>
          <w:lang w:val="en-AU"/>
        </w:rPr>
        <w:t> (ii) a fair comment on any event or matter of public interest if the comment is an expression of a genuine belief held by the person making the comment.</w:t>
      </w:r>
    </w:p>
    <w:p w14:paraId="59DC225E" w14:textId="11FD49AC" w:rsidR="003E6176" w:rsidRDefault="003E6176" w:rsidP="003E6176">
      <w:pPr>
        <w:spacing w:line="360" w:lineRule="auto"/>
        <w:rPr>
          <w:rFonts w:ascii="Nunito Sans" w:hAnsi="Nunito Sans"/>
          <w:lang w:val="en-US"/>
        </w:rPr>
      </w:pPr>
      <w:r>
        <w:rPr>
          <w:rFonts w:ascii="Nunito Sans" w:hAnsi="Nunito Sans"/>
          <w:lang w:val="en-US"/>
        </w:rPr>
        <w:t xml:space="preserve">We </w:t>
      </w:r>
      <w:r w:rsidRPr="003E6176">
        <w:rPr>
          <w:rFonts w:ascii="Nunito Sans" w:hAnsi="Nunito Sans"/>
          <w:lang w:val="en-US"/>
        </w:rPr>
        <w:t xml:space="preserve">endorse the </w:t>
      </w:r>
      <w:r w:rsidR="00E47DD3">
        <w:rPr>
          <w:rFonts w:ascii="Nunito Sans" w:hAnsi="Nunito Sans"/>
          <w:lang w:val="en-US"/>
        </w:rPr>
        <w:t>DRC’s</w:t>
      </w:r>
      <w:r w:rsidRPr="003E6176">
        <w:rPr>
          <w:rFonts w:ascii="Nunito Sans" w:hAnsi="Nunito Sans"/>
          <w:lang w:val="en-US"/>
        </w:rPr>
        <w:t xml:space="preserve"> proposed definition for 'offensive </w:t>
      </w:r>
      <w:proofErr w:type="spellStart"/>
      <w:r w:rsidRPr="003E6176">
        <w:rPr>
          <w:rFonts w:ascii="Nunito Sans" w:hAnsi="Nunito Sans"/>
          <w:lang w:val="en-US"/>
        </w:rPr>
        <w:t>behaviour</w:t>
      </w:r>
      <w:proofErr w:type="spellEnd"/>
      <w:r w:rsidRPr="003E6176">
        <w:rPr>
          <w:rFonts w:ascii="Nunito Sans" w:hAnsi="Nunito Sans"/>
          <w:lang w:val="en-US"/>
        </w:rPr>
        <w:t xml:space="preserve">' </w:t>
      </w:r>
      <w:r w:rsidR="00E47DD3">
        <w:rPr>
          <w:rFonts w:ascii="Nunito Sans" w:hAnsi="Nunito Sans"/>
          <w:lang w:val="en-US"/>
        </w:rPr>
        <w:t>as follows:</w:t>
      </w:r>
    </w:p>
    <w:p w14:paraId="6D1F5539" w14:textId="7B5C4C51" w:rsidR="003E6176" w:rsidRPr="003E6176" w:rsidRDefault="003E6176" w:rsidP="00344D63">
      <w:pPr>
        <w:spacing w:line="360" w:lineRule="auto"/>
        <w:ind w:left="567" w:hanging="283"/>
        <w:rPr>
          <w:rFonts w:ascii="Nunito Sans" w:hAnsi="Nunito Sans"/>
          <w:lang w:val="en-AU"/>
        </w:rPr>
      </w:pPr>
      <w:r w:rsidRPr="003E6176">
        <w:rPr>
          <w:rFonts w:ascii="Nunito Sans" w:hAnsi="Nunito Sans"/>
          <w:lang w:val="en-AU"/>
        </w:rPr>
        <w:t xml:space="preserve">It is unlawful for a person to do an act, otherwise than in private, if: </w:t>
      </w:r>
    </w:p>
    <w:p w14:paraId="66156D2E" w14:textId="5F59D9A9" w:rsidR="003E6176" w:rsidRPr="009569E8" w:rsidRDefault="003E6176" w:rsidP="00344D63">
      <w:pPr>
        <w:pStyle w:val="ListParagraph"/>
        <w:numPr>
          <w:ilvl w:val="0"/>
          <w:numId w:val="10"/>
        </w:numPr>
        <w:spacing w:line="360" w:lineRule="auto"/>
        <w:ind w:left="567" w:hanging="283"/>
        <w:rPr>
          <w:rFonts w:ascii="Nunito Sans" w:hAnsi="Nunito Sans"/>
          <w:lang w:val="en-AU"/>
        </w:rPr>
      </w:pPr>
      <w:r w:rsidRPr="009569E8">
        <w:rPr>
          <w:rFonts w:ascii="Nunito Sans" w:hAnsi="Nunito Sans"/>
          <w:lang w:val="en-AU"/>
        </w:rPr>
        <w:t xml:space="preserve">the act is reasonably likely, in all the circumstances, to offend, insult, humiliate or intimidate another person or a group of people; and </w:t>
      </w:r>
    </w:p>
    <w:p w14:paraId="5F0A791E" w14:textId="53E6D3AB" w:rsidR="003E6176" w:rsidRPr="009569E8" w:rsidRDefault="003E6176" w:rsidP="00344D63">
      <w:pPr>
        <w:pStyle w:val="ListParagraph"/>
        <w:numPr>
          <w:ilvl w:val="0"/>
          <w:numId w:val="10"/>
        </w:numPr>
        <w:spacing w:line="360" w:lineRule="auto"/>
        <w:ind w:left="567" w:hanging="283"/>
        <w:rPr>
          <w:rFonts w:ascii="Nunito Sans" w:hAnsi="Nunito Sans"/>
          <w:lang w:val="en-AU"/>
        </w:rPr>
      </w:pPr>
      <w:r w:rsidRPr="009569E8">
        <w:rPr>
          <w:rFonts w:ascii="Nunito Sans" w:hAnsi="Nunito Sans"/>
          <w:lang w:val="en-AU"/>
        </w:rPr>
        <w:t xml:space="preserve">the act is done because of the disability of the other person or because some or </w:t>
      </w:r>
      <w:proofErr w:type="gramStart"/>
      <w:r w:rsidRPr="009569E8">
        <w:rPr>
          <w:rFonts w:ascii="Nunito Sans" w:hAnsi="Nunito Sans"/>
          <w:lang w:val="en-AU"/>
        </w:rPr>
        <w:t>all of</w:t>
      </w:r>
      <w:proofErr w:type="gramEnd"/>
      <w:r w:rsidRPr="009569E8">
        <w:rPr>
          <w:rFonts w:ascii="Nunito Sans" w:hAnsi="Nunito Sans"/>
          <w:lang w:val="en-AU"/>
        </w:rPr>
        <w:t xml:space="preserve"> the people in the group have or are perceived by the first person to have a disability.</w:t>
      </w:r>
    </w:p>
    <w:p w14:paraId="3CB40A48" w14:textId="1B6BA604" w:rsidR="000A60A4" w:rsidRDefault="003D5FB8" w:rsidP="00DC6C36">
      <w:pPr>
        <w:spacing w:after="240" w:line="360" w:lineRule="auto"/>
        <w:rPr>
          <w:rFonts w:ascii="Nunito Sans" w:hAnsi="Nunito Sans"/>
          <w:lang w:val="en-US"/>
        </w:rPr>
      </w:pPr>
      <w:r>
        <w:rPr>
          <w:rFonts w:ascii="Nunito Sans" w:hAnsi="Nunito Sans"/>
          <w:lang w:val="en-US"/>
        </w:rPr>
        <w:t>Furthermore, t</w:t>
      </w:r>
      <w:r w:rsidR="009D2CF5" w:rsidRPr="009D2CF5">
        <w:rPr>
          <w:rFonts w:ascii="Nunito Sans" w:hAnsi="Nunito Sans"/>
          <w:lang w:val="en-US"/>
        </w:rPr>
        <w:t>o address th</w:t>
      </w:r>
      <w:r w:rsidR="001C5525">
        <w:rPr>
          <w:rFonts w:ascii="Nunito Sans" w:hAnsi="Nunito Sans"/>
          <w:lang w:val="en-US"/>
        </w:rPr>
        <w:t>e</w:t>
      </w:r>
      <w:r w:rsidR="00071409">
        <w:rPr>
          <w:rFonts w:ascii="Nunito Sans" w:hAnsi="Nunito Sans"/>
          <w:lang w:val="en-US"/>
        </w:rPr>
        <w:t xml:space="preserve"> </w:t>
      </w:r>
      <w:r w:rsidR="009D2CF5" w:rsidRPr="009D2CF5">
        <w:rPr>
          <w:rFonts w:ascii="Nunito Sans" w:hAnsi="Nunito Sans"/>
          <w:lang w:val="en-US"/>
        </w:rPr>
        <w:t>gap</w:t>
      </w:r>
      <w:r w:rsidR="00071409">
        <w:rPr>
          <w:rFonts w:ascii="Nunito Sans" w:hAnsi="Nunito Sans"/>
          <w:lang w:val="en-US"/>
        </w:rPr>
        <w:t xml:space="preserve"> of no legislative protection against vilification on the ground of disability</w:t>
      </w:r>
      <w:r w:rsidR="009D2CF5" w:rsidRPr="009D2CF5">
        <w:rPr>
          <w:rFonts w:ascii="Nunito Sans" w:hAnsi="Nunito Sans"/>
          <w:lang w:val="en-US"/>
        </w:rPr>
        <w:t xml:space="preserve">, QIDAN fully endorses recommendation 4.30 </w:t>
      </w:r>
      <w:r w:rsidR="009D2CF5">
        <w:rPr>
          <w:rFonts w:ascii="Nunito Sans" w:hAnsi="Nunito Sans"/>
          <w:lang w:val="en-US"/>
        </w:rPr>
        <w:t>of the DRC</w:t>
      </w:r>
      <w:r w:rsidR="009D2CF5" w:rsidRPr="009D2CF5">
        <w:rPr>
          <w:rFonts w:ascii="Nunito Sans" w:hAnsi="Nunito Sans"/>
          <w:lang w:val="en-US"/>
        </w:rPr>
        <w:t xml:space="preserve"> which proposes amendments to the </w:t>
      </w:r>
      <w:r w:rsidR="009D2CF5">
        <w:rPr>
          <w:rFonts w:ascii="Nunito Sans" w:hAnsi="Nunito Sans"/>
          <w:lang w:val="en-US"/>
        </w:rPr>
        <w:t>DDA</w:t>
      </w:r>
      <w:r w:rsidR="009D2CF5" w:rsidRPr="009D2CF5">
        <w:rPr>
          <w:rFonts w:ascii="Nunito Sans" w:hAnsi="Nunito Sans"/>
          <w:lang w:val="en-US"/>
        </w:rPr>
        <w:t xml:space="preserve"> to protect people with a disability from vilification.</w:t>
      </w:r>
    </w:p>
    <w:p w14:paraId="0A705541" w14:textId="77777777" w:rsidR="00CC3A5F" w:rsidRDefault="00CC3A5F" w:rsidP="00DC6C36">
      <w:pPr>
        <w:spacing w:after="240" w:line="360" w:lineRule="auto"/>
        <w:rPr>
          <w:rFonts w:ascii="Nunito Sans" w:hAnsi="Nunito Sans"/>
        </w:rPr>
      </w:pPr>
    </w:p>
    <w:p w14:paraId="3E96BCE2" w14:textId="2525F472" w:rsidR="00603827" w:rsidRPr="00DC6C36" w:rsidRDefault="00C865A8" w:rsidP="00DC6C36">
      <w:pPr>
        <w:pStyle w:val="QIDANParagraph"/>
        <w:rPr>
          <w:b/>
          <w:bCs/>
          <w:color w:val="690048"/>
        </w:rPr>
      </w:pPr>
      <w:r w:rsidRPr="26F6AE68">
        <w:rPr>
          <w:b/>
          <w:bCs/>
          <w:color w:val="690048"/>
        </w:rPr>
        <w:lastRenderedPageBreak/>
        <w:t xml:space="preserve">Holding </w:t>
      </w:r>
      <w:r w:rsidR="75E94EED" w:rsidRPr="26F6AE68">
        <w:rPr>
          <w:b/>
          <w:bCs/>
          <w:color w:val="690048"/>
        </w:rPr>
        <w:t xml:space="preserve">government workers </w:t>
      </w:r>
      <w:r w:rsidRPr="26F6AE68">
        <w:rPr>
          <w:b/>
          <w:bCs/>
          <w:color w:val="690048"/>
        </w:rPr>
        <w:t>accountable</w:t>
      </w:r>
      <w:r w:rsidR="00DC6C36" w:rsidRPr="26F6AE68">
        <w:rPr>
          <w:b/>
          <w:bCs/>
          <w:color w:val="690048"/>
        </w:rPr>
        <w:t xml:space="preserve"> if they discriminate against a person with disability</w:t>
      </w:r>
    </w:p>
    <w:p w14:paraId="4966B63A" w14:textId="12043862" w:rsidR="2E525E79" w:rsidRPr="00CC3A5F" w:rsidRDefault="001E45F1" w:rsidP="002A2EA5">
      <w:pPr>
        <w:spacing w:line="360" w:lineRule="auto"/>
        <w:rPr>
          <w:rFonts w:ascii="Nunito Sans" w:hAnsi="Nunito Sans"/>
        </w:rPr>
      </w:pPr>
      <w:r w:rsidRPr="001E45F1">
        <w:rPr>
          <w:rFonts w:ascii="Nunito Sans" w:hAnsi="Nunito Sans"/>
          <w:lang w:val="en-US"/>
        </w:rPr>
        <w:t xml:space="preserve">QIDAN fully endorses </w:t>
      </w:r>
      <w:r w:rsidR="005C01C9">
        <w:rPr>
          <w:rFonts w:ascii="Nunito Sans" w:hAnsi="Nunito Sans"/>
          <w:lang w:val="en-US"/>
        </w:rPr>
        <w:t xml:space="preserve">DRC </w:t>
      </w:r>
      <w:r w:rsidRPr="001E45F1">
        <w:rPr>
          <w:rFonts w:ascii="Nunito Sans" w:hAnsi="Nunito Sans"/>
          <w:lang w:val="en-US"/>
        </w:rPr>
        <w:t xml:space="preserve">recommendation 8.19 which proposes an amendment to the </w:t>
      </w:r>
      <w:r>
        <w:rPr>
          <w:rFonts w:ascii="Nunito Sans" w:hAnsi="Nunito Sans"/>
          <w:lang w:val="en-US"/>
        </w:rPr>
        <w:t>DDA</w:t>
      </w:r>
      <w:r w:rsidRPr="001E45F1">
        <w:rPr>
          <w:rFonts w:ascii="Nunito Sans" w:hAnsi="Nunito Sans"/>
          <w:lang w:val="en-US"/>
        </w:rPr>
        <w:t xml:space="preserve"> to ensure that it covers policing.</w:t>
      </w:r>
      <w:r w:rsidR="003A3D18">
        <w:rPr>
          <w:rFonts w:ascii="Nunito Sans" w:hAnsi="Nunito Sans"/>
          <w:lang w:val="en-US"/>
        </w:rPr>
        <w:t xml:space="preserve"> It is our view that police do provide ‘services’ to the community</w:t>
      </w:r>
      <w:r w:rsidR="00834282">
        <w:rPr>
          <w:rFonts w:ascii="Nunito Sans" w:hAnsi="Nunito Sans"/>
          <w:lang w:val="en-US"/>
        </w:rPr>
        <w:t>. Take for example the Queensland Police Service</w:t>
      </w:r>
      <w:r w:rsidR="000C4CE2">
        <w:rPr>
          <w:rFonts w:ascii="Nunito Sans" w:hAnsi="Nunito Sans"/>
          <w:lang w:val="en-US"/>
        </w:rPr>
        <w:t xml:space="preserve">, which contains a broad range of functions defined </w:t>
      </w:r>
      <w:r w:rsidR="00D91E5C">
        <w:rPr>
          <w:rFonts w:ascii="Nunito Sans" w:hAnsi="Nunito Sans"/>
          <w:lang w:val="en-US"/>
        </w:rPr>
        <w:t>as ‘police service’</w:t>
      </w:r>
      <w:r w:rsidR="00C62DDE">
        <w:rPr>
          <w:rFonts w:ascii="Nunito Sans" w:hAnsi="Nunito Sans"/>
          <w:lang w:val="en-US"/>
        </w:rPr>
        <w:t xml:space="preserve">, </w:t>
      </w:r>
      <w:r w:rsidR="00C928D7">
        <w:rPr>
          <w:rFonts w:ascii="Nunito Sans" w:hAnsi="Nunito Sans"/>
          <w:lang w:val="en-US"/>
        </w:rPr>
        <w:t xml:space="preserve">including when </w:t>
      </w:r>
      <w:r w:rsidR="00481686">
        <w:rPr>
          <w:rFonts w:ascii="Nunito Sans" w:hAnsi="Nunito Sans"/>
          <w:lang w:val="en-US"/>
        </w:rPr>
        <w:t xml:space="preserve">interacting with a person suspected of committing an offence but </w:t>
      </w:r>
      <w:r w:rsidR="00C62DDE">
        <w:rPr>
          <w:rFonts w:ascii="Nunito Sans" w:hAnsi="Nunito Sans"/>
          <w:lang w:val="en-US"/>
        </w:rPr>
        <w:t>not being limited to initial investigations</w:t>
      </w:r>
      <w:r w:rsidR="004E0D2B">
        <w:rPr>
          <w:rFonts w:ascii="Nunito Sans" w:hAnsi="Nunito Sans"/>
          <w:lang w:val="en-US"/>
        </w:rPr>
        <w:t>.</w:t>
      </w:r>
      <w:r w:rsidR="004E0D2B">
        <w:rPr>
          <w:rStyle w:val="FootnoteReference"/>
          <w:rFonts w:ascii="Nunito Sans" w:hAnsi="Nunito Sans"/>
          <w:lang w:val="en-US"/>
        </w:rPr>
        <w:footnoteReference w:id="32"/>
      </w:r>
      <w:r w:rsidR="00F772E6">
        <w:rPr>
          <w:rFonts w:ascii="Nunito Sans" w:hAnsi="Nunito Sans"/>
          <w:lang w:val="en-US"/>
        </w:rPr>
        <w:t xml:space="preserve"> The general exemptions around unjustifiable hardship</w:t>
      </w:r>
      <w:r w:rsidR="00C47CED">
        <w:rPr>
          <w:rFonts w:ascii="Nunito Sans" w:hAnsi="Nunito Sans"/>
          <w:lang w:val="en-US"/>
        </w:rPr>
        <w:t xml:space="preserve"> are sufficient </w:t>
      </w:r>
      <w:r w:rsidR="00A870ED">
        <w:rPr>
          <w:rFonts w:ascii="Nunito Sans" w:hAnsi="Nunito Sans"/>
          <w:lang w:val="en-US"/>
        </w:rPr>
        <w:t xml:space="preserve">to maintain the minimum necessary for police to </w:t>
      </w:r>
      <w:r w:rsidR="00ED1463">
        <w:rPr>
          <w:rFonts w:ascii="Nunito Sans" w:hAnsi="Nunito Sans"/>
          <w:lang w:val="en-US"/>
        </w:rPr>
        <w:t xml:space="preserve">carry out their duties. </w:t>
      </w:r>
      <w:r w:rsidR="2E525E79" w:rsidRPr="26F6AE68">
        <w:rPr>
          <w:rFonts w:ascii="Nunito Sans" w:hAnsi="Nunito Sans"/>
          <w:lang w:val="en-US"/>
        </w:rPr>
        <w:t xml:space="preserve">This protection should include all government operations such as prison operations and child safety. </w:t>
      </w:r>
    </w:p>
    <w:p w14:paraId="263B15A4" w14:textId="44F3C0C9" w:rsidR="005D197B" w:rsidRDefault="00C672AC" w:rsidP="005D197B">
      <w:pPr>
        <w:pStyle w:val="Heading1"/>
        <w:rPr>
          <w:rFonts w:ascii="Nunito Sans" w:hAnsi="Nunito Sans" w:cs="Poppins SemiBold"/>
          <w:b/>
          <w:bCs/>
          <w:color w:val="690048"/>
          <w:sz w:val="28"/>
          <w:szCs w:val="28"/>
        </w:rPr>
      </w:pPr>
      <w:bookmarkStart w:id="8" w:name="_Toc212816950"/>
      <w:r>
        <w:rPr>
          <w:rFonts w:ascii="Nunito Sans" w:hAnsi="Nunito Sans" w:cs="Poppins SemiBold"/>
          <w:b/>
          <w:bCs/>
          <w:color w:val="690048"/>
          <w:sz w:val="28"/>
          <w:szCs w:val="28"/>
        </w:rPr>
        <w:t>No more excuses for discriminating</w:t>
      </w:r>
      <w:r w:rsidR="002B3B19">
        <w:rPr>
          <w:rFonts w:ascii="Nunito Sans" w:hAnsi="Nunito Sans" w:cs="Poppins SemiBold"/>
          <w:b/>
          <w:bCs/>
          <w:color w:val="690048"/>
          <w:sz w:val="28"/>
          <w:szCs w:val="28"/>
        </w:rPr>
        <w:t xml:space="preserve"> – make exemptions clear and minimum</w:t>
      </w:r>
      <w:bookmarkEnd w:id="8"/>
    </w:p>
    <w:p w14:paraId="255B5BDE" w14:textId="0D669F41" w:rsidR="00B61947" w:rsidRDefault="00B61947" w:rsidP="00C66E40">
      <w:pPr>
        <w:pStyle w:val="QIDANParagraph"/>
      </w:pPr>
      <w:r>
        <w:t>This section covers questions 33-37 of the Issues Paper.</w:t>
      </w:r>
    </w:p>
    <w:p w14:paraId="77A4E87F" w14:textId="21EA3A92" w:rsidR="00B94ECD" w:rsidRDefault="00C66E40" w:rsidP="00C66E40">
      <w:pPr>
        <w:pStyle w:val="QIDANParagraph"/>
      </w:pPr>
      <w:r w:rsidRPr="00C66E40">
        <w:t xml:space="preserve">Over the years, exemptions, excuses and defences have crept into the anti-discrimination </w:t>
      </w:r>
      <w:r w:rsidR="002B3B19">
        <w:t>framework</w:t>
      </w:r>
      <w:r w:rsidR="00CD3F19">
        <w:t xml:space="preserve">, which </w:t>
      </w:r>
      <w:r w:rsidRPr="00C66E40">
        <w:t>have had unexpected or excessive flow-on effects.</w:t>
      </w:r>
      <w:r w:rsidR="004E6585">
        <w:t xml:space="preserve"> </w:t>
      </w:r>
    </w:p>
    <w:p w14:paraId="516F2B92" w14:textId="6FD69EF7" w:rsidR="005D197B" w:rsidRDefault="00C66E40" w:rsidP="00C66E40">
      <w:pPr>
        <w:pStyle w:val="QIDANParagraph"/>
      </w:pPr>
      <w:r w:rsidRPr="00C66E40">
        <w:t>As an example, and of specific concern from a disability perspective is the exemption which allows discrimination in the areas of insurance and superannuation</w:t>
      </w:r>
      <w:r w:rsidR="009A4D89">
        <w:t xml:space="preserve"> (section 46 of the DDA)</w:t>
      </w:r>
      <w:r w:rsidRPr="00C66E40">
        <w:t>. This discrimination can occur even where there is no demonstrated actuarial, statistical or other data</w:t>
      </w:r>
      <w:r w:rsidR="00A92674">
        <w:t>, or when they cannot be obtained</w:t>
      </w:r>
      <w:r w:rsidRPr="00C66E40">
        <w:t>. This has a particularly harsh impact on people with a history of mental illness, even when the mental health condition is diagnosed, treated and well managed. This outdated law entrenches and perpetuates an old stigma about mental illness and, perversely, deters some people from accessing mental health care because they do not want to be denied insurance or superannuation benefits. A better approach would be to require insurance and superannuation companies to have to apply for a</w:t>
      </w:r>
      <w:r w:rsidR="00D45036">
        <w:t xml:space="preserve"> temporary </w:t>
      </w:r>
      <w:r w:rsidRPr="00C66E40">
        <w:t xml:space="preserve">exemption and demonstrate the basis for their application, such as under the current section </w:t>
      </w:r>
      <w:r w:rsidR="00E00C42">
        <w:t>55 of the DDA</w:t>
      </w:r>
      <w:r w:rsidRPr="00C66E40">
        <w:t>.</w:t>
      </w:r>
    </w:p>
    <w:p w14:paraId="5DE09499" w14:textId="77777777" w:rsidR="00CF7E05" w:rsidRPr="00C66E40" w:rsidRDefault="00CF7E05" w:rsidP="00CF7E05">
      <w:pPr>
        <w:pStyle w:val="QIDANParagraph"/>
      </w:pPr>
      <w:r>
        <w:lastRenderedPageBreak/>
        <w:t xml:space="preserve">Permanent exemptions should only exist in circumstances where strictly necessary and which result in minimum intrusion on the rights of people with disability. Exemptions should be regularly reviewed (every 5 years or so) to ensure they reflect community standards and appropriately balance individual’s and community’s rights.  </w:t>
      </w:r>
      <w:r w:rsidRPr="00C66E40">
        <w:t xml:space="preserve"> </w:t>
      </w:r>
    </w:p>
    <w:p w14:paraId="51051F01" w14:textId="2D92BADF" w:rsidR="00216DEF" w:rsidRDefault="00D91F28" w:rsidP="00FA70F8">
      <w:pPr>
        <w:pStyle w:val="QIDANParagraph"/>
      </w:pPr>
      <w:r>
        <w:t xml:space="preserve">The </w:t>
      </w:r>
      <w:r w:rsidR="00D30412">
        <w:t>AHRC</w:t>
      </w:r>
      <w:r>
        <w:t xml:space="preserve"> should be given the po</w:t>
      </w:r>
      <w:r w:rsidR="00890685">
        <w:t>wer to grant special measures certificates</w:t>
      </w:r>
      <w:r w:rsidR="006D261F">
        <w:t xml:space="preserve">, which </w:t>
      </w:r>
      <w:r w:rsidR="00890685">
        <w:t>could assist in providing certainty to duty-holders who wish to ensure</w:t>
      </w:r>
      <w:r w:rsidR="000834A7">
        <w:t xml:space="preserve"> their conduct falls within the special measure</w:t>
      </w:r>
      <w:r w:rsidR="00325C11">
        <w:t>s</w:t>
      </w:r>
      <w:r w:rsidR="000834A7">
        <w:t>.</w:t>
      </w:r>
      <w:r w:rsidR="00DA4AE3">
        <w:rPr>
          <w:rStyle w:val="FootnoteReference"/>
        </w:rPr>
        <w:footnoteReference w:id="33"/>
      </w:r>
      <w:r w:rsidR="000834A7">
        <w:t xml:space="preserve"> </w:t>
      </w:r>
      <w:r w:rsidR="00046AB4">
        <w:t xml:space="preserve">A definition </w:t>
      </w:r>
      <w:r w:rsidR="00F21418">
        <w:t xml:space="preserve">for special measures </w:t>
      </w:r>
      <w:r w:rsidR="00A166EA">
        <w:t xml:space="preserve">should be developed in consultation with people with disability and </w:t>
      </w:r>
      <w:r w:rsidR="00FF4011">
        <w:t xml:space="preserve">be aligned with the CRPD. In our view, </w:t>
      </w:r>
      <w:r w:rsidR="00FA70F8">
        <w:t xml:space="preserve">section </w:t>
      </w:r>
      <w:r w:rsidR="00FA70F8" w:rsidRPr="00FA70F8">
        <w:t xml:space="preserve">12 of the </w:t>
      </w:r>
      <w:r w:rsidR="00FA70F8" w:rsidRPr="00FA70F8">
        <w:rPr>
          <w:i/>
          <w:iCs/>
        </w:rPr>
        <w:t>Equal Opportunity Act 2010</w:t>
      </w:r>
      <w:r w:rsidR="00FA70F8" w:rsidRPr="00FA70F8">
        <w:t xml:space="preserve"> (Vic) provides</w:t>
      </w:r>
      <w:r w:rsidR="005D496C">
        <w:t xml:space="preserve"> a good </w:t>
      </w:r>
      <w:r w:rsidR="00A621A7">
        <w:t>starting point</w:t>
      </w:r>
      <w:r w:rsidR="00FA14A4">
        <w:t>,</w:t>
      </w:r>
      <w:r w:rsidR="005D496C">
        <w:t xml:space="preserve"> </w:t>
      </w:r>
      <w:r w:rsidR="006A2DAB">
        <w:t>where</w:t>
      </w:r>
      <w:r w:rsidR="00FA70F8" w:rsidRPr="00FA70F8">
        <w:t xml:space="preserve"> special measure</w:t>
      </w:r>
      <w:r w:rsidR="00EC58A9">
        <w:t xml:space="preserve"> can be granted</w:t>
      </w:r>
      <w:r w:rsidR="00FA70F8" w:rsidRPr="00FA70F8">
        <w:t xml:space="preserve"> for the purpose of promoting or achieving substantive equality for members of a group with a protected attribute.</w:t>
      </w:r>
      <w:r w:rsidR="00FA14A4">
        <w:t xml:space="preserve"> </w:t>
      </w:r>
      <w:r w:rsidR="008E1071">
        <w:t>Also</w:t>
      </w:r>
      <w:r w:rsidR="00FA14A4">
        <w:t>, the reference to “special” in section 45 of the DDA should be removed</w:t>
      </w:r>
      <w:r w:rsidR="00935222">
        <w:t xml:space="preserve"> from the phrase “programs to meet special needs”. </w:t>
      </w:r>
    </w:p>
    <w:p w14:paraId="6C7EDA83" w14:textId="6085DB9F" w:rsidR="005832D6" w:rsidRPr="00FA70F8" w:rsidRDefault="00BF70A1" w:rsidP="00FA70F8">
      <w:pPr>
        <w:pStyle w:val="QIDANParagraph"/>
      </w:pPr>
      <w:r>
        <w:t>Furthermore,</w:t>
      </w:r>
      <w:r w:rsidR="008C69A7">
        <w:rPr>
          <w:lang w:val="en-GB"/>
        </w:rPr>
        <w:t xml:space="preserve"> l</w:t>
      </w:r>
      <w:r w:rsidR="008C69A7" w:rsidRPr="00ED1F8E">
        <w:rPr>
          <w:lang w:val="en-GB"/>
        </w:rPr>
        <w:t xml:space="preserve">egal protection under the DDA is not available to migrants because any action permitted under the </w:t>
      </w:r>
      <w:r w:rsidR="008C69A7" w:rsidRPr="00ED1F8E">
        <w:rPr>
          <w:i/>
          <w:iCs/>
          <w:lang w:val="en-GB"/>
        </w:rPr>
        <w:t>Migration Act</w:t>
      </w:r>
      <w:r w:rsidR="008C69A7" w:rsidRPr="00ED1F8E">
        <w:rPr>
          <w:lang w:val="en-GB"/>
        </w:rPr>
        <w:t xml:space="preserve"> is exempt from the operation of the</w:t>
      </w:r>
      <w:r w:rsidR="008C69A7">
        <w:rPr>
          <w:lang w:val="en-GB"/>
        </w:rPr>
        <w:t xml:space="preserve"> DDA</w:t>
      </w:r>
      <w:r w:rsidR="002344B9">
        <w:rPr>
          <w:lang w:val="en-GB"/>
        </w:rPr>
        <w:t xml:space="preserve">, as per section 52 of the DDA. This </w:t>
      </w:r>
      <w:r>
        <w:t>section</w:t>
      </w:r>
      <w:r w:rsidR="002344B9">
        <w:t xml:space="preserve"> </w:t>
      </w:r>
      <w:r w:rsidR="005832D6" w:rsidRPr="005832D6">
        <w:rPr>
          <w:lang w:val="en-GB"/>
        </w:rPr>
        <w:t>should be amended</w:t>
      </w:r>
      <w:r w:rsidR="006E180A">
        <w:rPr>
          <w:lang w:val="en-GB"/>
        </w:rPr>
        <w:t xml:space="preserve"> </w:t>
      </w:r>
      <w:r w:rsidR="005832D6" w:rsidRPr="005832D6">
        <w:rPr>
          <w:lang w:val="en-GB"/>
        </w:rPr>
        <w:t xml:space="preserve">such that the extent of </w:t>
      </w:r>
      <w:r w:rsidR="00760F83">
        <w:rPr>
          <w:lang w:val="en-GB"/>
        </w:rPr>
        <w:t xml:space="preserve">lawful </w:t>
      </w:r>
      <w:r w:rsidR="005832D6" w:rsidRPr="005832D6">
        <w:rPr>
          <w:lang w:val="en-GB"/>
        </w:rPr>
        <w:t>discrimination is narrowed while still balancing the policy consideration of protecting public health.</w:t>
      </w:r>
      <w:r w:rsidR="00ED1F8E">
        <w:rPr>
          <w:lang w:val="en-GB"/>
        </w:rPr>
        <w:t xml:space="preserve"> </w:t>
      </w:r>
      <w:r w:rsidR="00FD12EA">
        <w:rPr>
          <w:lang w:val="en-GB"/>
        </w:rPr>
        <w:t>Reforms should</w:t>
      </w:r>
      <w:r w:rsidR="003153E4">
        <w:rPr>
          <w:lang w:val="en-GB"/>
        </w:rPr>
        <w:t xml:space="preserve"> include</w:t>
      </w:r>
      <w:r w:rsidR="003153E4" w:rsidRPr="003153E4">
        <w:t xml:space="preserve"> the Federal Government review</w:t>
      </w:r>
      <w:r w:rsidR="003153E4">
        <w:t>ing</w:t>
      </w:r>
      <w:r w:rsidR="003153E4" w:rsidRPr="003153E4">
        <w:t xml:space="preserve"> and remov</w:t>
      </w:r>
      <w:r w:rsidR="003153E4">
        <w:t xml:space="preserve">ing </w:t>
      </w:r>
      <w:r w:rsidR="003153E4" w:rsidRPr="003153E4">
        <w:t xml:space="preserve">Australia’s interpretative declaration on Article 18 of the </w:t>
      </w:r>
      <w:r w:rsidR="003153E4" w:rsidRPr="003153E4">
        <w:rPr>
          <w:i/>
          <w:iCs/>
        </w:rPr>
        <w:t>Convention on the Rights of Persons with Disabilities</w:t>
      </w:r>
      <w:r w:rsidR="003153E4" w:rsidRPr="00684888">
        <w:rPr>
          <w:i/>
          <w:iCs/>
        </w:rPr>
        <w:t>.</w:t>
      </w:r>
      <w:r w:rsidR="00E212DD" w:rsidRPr="00684888">
        <w:rPr>
          <w:i/>
          <w:iCs/>
        </w:rPr>
        <w:t xml:space="preserve"> </w:t>
      </w:r>
      <w:r w:rsidR="00E212DD" w:rsidRPr="00684888">
        <w:t xml:space="preserve">The Welcoming Disability campaign </w:t>
      </w:r>
      <w:r w:rsidR="005832D6" w:rsidRPr="00684888">
        <w:t>calls for review of the existing migration provisions to identify a way that a migration health requirement can be enforced without discriminating against people with disability migrating to Australia. The foundation of this campaign is that our current migration health requirements and their application are inconsistent with international human rights law, as expressed in the Convention on the Rights of Persons with Disability (CRPD) and with Australia’s own Disability Discrimination Act.</w:t>
      </w:r>
      <w:r w:rsidR="009553B3">
        <w:rPr>
          <w:rStyle w:val="FootnoteReference"/>
        </w:rPr>
        <w:footnoteReference w:id="34"/>
      </w:r>
      <w:r w:rsidR="00F304A7">
        <w:t xml:space="preserve"> Therefore, the DDA must be amended to include legal protectio</w:t>
      </w:r>
      <w:r w:rsidR="00E13743">
        <w:t>ns to migrants with disability.</w:t>
      </w:r>
    </w:p>
    <w:p w14:paraId="5E88B411" w14:textId="573227A2" w:rsidR="00F06830" w:rsidRDefault="009137D1" w:rsidP="00F06830">
      <w:pPr>
        <w:pStyle w:val="Heading1"/>
        <w:rPr>
          <w:rFonts w:ascii="Nunito Sans" w:hAnsi="Nunito Sans" w:cs="Poppins SemiBold"/>
          <w:b/>
          <w:bCs/>
          <w:color w:val="690048"/>
          <w:sz w:val="28"/>
          <w:szCs w:val="28"/>
        </w:rPr>
      </w:pPr>
      <w:bookmarkStart w:id="9" w:name="_Toc212816951"/>
      <w:r>
        <w:rPr>
          <w:rFonts w:ascii="Nunito Sans" w:hAnsi="Nunito Sans" w:cs="Poppins SemiBold"/>
          <w:b/>
          <w:bCs/>
          <w:color w:val="690048"/>
          <w:sz w:val="28"/>
          <w:szCs w:val="28"/>
        </w:rPr>
        <w:lastRenderedPageBreak/>
        <w:t>Make the</w:t>
      </w:r>
      <w:r w:rsidR="00F06830">
        <w:rPr>
          <w:rFonts w:ascii="Nunito Sans" w:hAnsi="Nunito Sans" w:cs="Poppins SemiBold"/>
          <w:b/>
          <w:bCs/>
          <w:color w:val="690048"/>
          <w:sz w:val="28"/>
          <w:szCs w:val="28"/>
        </w:rPr>
        <w:t xml:space="preserve"> </w:t>
      </w:r>
      <w:r>
        <w:rPr>
          <w:rFonts w:ascii="Nunito Sans" w:hAnsi="Nunito Sans" w:cs="Poppins SemiBold"/>
          <w:b/>
          <w:bCs/>
          <w:color w:val="690048"/>
          <w:sz w:val="28"/>
          <w:szCs w:val="28"/>
        </w:rPr>
        <w:t>DDA</w:t>
      </w:r>
      <w:r w:rsidR="00B20D88">
        <w:rPr>
          <w:rFonts w:ascii="Nunito Sans" w:hAnsi="Nunito Sans" w:cs="Poppins SemiBold"/>
          <w:b/>
          <w:bCs/>
          <w:color w:val="690048"/>
          <w:sz w:val="28"/>
          <w:szCs w:val="28"/>
        </w:rPr>
        <w:t xml:space="preserve"> effective and</w:t>
      </w:r>
      <w:r>
        <w:rPr>
          <w:rFonts w:ascii="Nunito Sans" w:hAnsi="Nunito Sans" w:cs="Poppins SemiBold"/>
          <w:b/>
          <w:bCs/>
          <w:color w:val="690048"/>
          <w:sz w:val="28"/>
          <w:szCs w:val="28"/>
        </w:rPr>
        <w:t xml:space="preserve"> fit for purpose</w:t>
      </w:r>
      <w:bookmarkEnd w:id="9"/>
    </w:p>
    <w:p w14:paraId="3D70DFD2" w14:textId="751F446F" w:rsidR="00F06830" w:rsidRDefault="00B43B04" w:rsidP="00344D63">
      <w:pPr>
        <w:pStyle w:val="QIDANParagraph"/>
        <w:spacing w:after="240"/>
      </w:pPr>
      <w:r>
        <w:t>This section cover</w:t>
      </w:r>
      <w:r w:rsidR="00B05618">
        <w:t>s questions 38-47 of the Issues Paper.</w:t>
      </w:r>
    </w:p>
    <w:p w14:paraId="3EB988BC" w14:textId="00B4D511" w:rsidR="00D164B2" w:rsidRDefault="00D164B2" w:rsidP="00081F78">
      <w:pPr>
        <w:pStyle w:val="QIDANParagraph"/>
        <w:rPr>
          <w:b/>
          <w:bCs/>
          <w:color w:val="690048"/>
        </w:rPr>
      </w:pPr>
      <w:r>
        <w:rPr>
          <w:b/>
          <w:bCs/>
          <w:color w:val="690048"/>
        </w:rPr>
        <w:t xml:space="preserve">Assistance animals </w:t>
      </w:r>
    </w:p>
    <w:p w14:paraId="75802ACF" w14:textId="591FFDFD" w:rsidR="00DE3D6D" w:rsidRPr="00DE3D6D" w:rsidRDefault="00DE3D6D" w:rsidP="00DE3D6D">
      <w:pPr>
        <w:pStyle w:val="QIDANParagraph"/>
      </w:pPr>
      <w:bookmarkStart w:id="10" w:name="_Hlk210911267"/>
      <w:r w:rsidRPr="00DE3D6D">
        <w:t>Q</w:t>
      </w:r>
      <w:r w:rsidR="007F0CF1">
        <w:t>AI</w:t>
      </w:r>
      <w:r w:rsidRPr="00DE3D6D">
        <w:t xml:space="preserve"> recently made a submission in respect of the </w:t>
      </w:r>
      <w:r w:rsidRPr="00207B0B">
        <w:t>Assistance Animals National Principles</w:t>
      </w:r>
      <w:r w:rsidRPr="00DE3D6D">
        <w:t>, providing that while consistency in accreditation requirements is important, imposing burdensome standards may serve as a disincentive to training providers becoming accredited under the standards.</w:t>
      </w:r>
      <w:r w:rsidR="00207B0B">
        <w:rPr>
          <w:rStyle w:val="FootnoteReference"/>
        </w:rPr>
        <w:footnoteReference w:id="35"/>
      </w:r>
      <w:r w:rsidRPr="00DE3D6D">
        <w:t xml:space="preserve"> There is already a shortage of accredited trainers, particularly in regional and remote areas of the country and </w:t>
      </w:r>
      <w:r w:rsidR="009325E7">
        <w:t>making</w:t>
      </w:r>
      <w:r w:rsidRPr="00DE3D6D">
        <w:t xml:space="preserve"> national accreditation requirements</w:t>
      </w:r>
      <w:r w:rsidR="002D43A7">
        <w:t xml:space="preserve"> more complex</w:t>
      </w:r>
      <w:r w:rsidRPr="00DE3D6D">
        <w:t xml:space="preserve"> could potentially exacerbate this. </w:t>
      </w:r>
    </w:p>
    <w:p w14:paraId="50F73D6F" w14:textId="4A95BA8A" w:rsidR="00DE3D6D" w:rsidRPr="00DE3D6D" w:rsidRDefault="00DE3D6D" w:rsidP="00DE3D6D">
      <w:pPr>
        <w:pStyle w:val="QIDANParagraph"/>
      </w:pPr>
      <w:r w:rsidRPr="00DE3D6D">
        <w:t xml:space="preserve">The minimum training standards should not be too onerous for people with disability to satisfy. In Queensland, many people with disability who use assistance dogs struggle to meet the strict requirements required by the </w:t>
      </w:r>
      <w:r w:rsidRPr="00DE3D6D">
        <w:rPr>
          <w:i/>
          <w:iCs/>
        </w:rPr>
        <w:t>Guide, Hearing and Assistance Dogs Act 2009</w:t>
      </w:r>
      <w:r w:rsidRPr="00DE3D6D">
        <w:t xml:space="preserve"> (Qld) (GHAD Act). Among other things, the GHAD Act requires </w:t>
      </w:r>
      <w:r w:rsidR="0032079A">
        <w:t>payment</w:t>
      </w:r>
      <w:r w:rsidRPr="00DE3D6D">
        <w:t xml:space="preserve"> for regular and expensive training and accreditation processes which, in some instances, are not required and can be inaccessible to the people they are supposed to ultimately help.</w:t>
      </w:r>
    </w:p>
    <w:p w14:paraId="37FCBD71" w14:textId="6E00F92A" w:rsidR="00DE3D6D" w:rsidRPr="00DE3D6D" w:rsidRDefault="00DE3D6D" w:rsidP="00DE3D6D">
      <w:pPr>
        <w:pStyle w:val="QIDANParagraph"/>
      </w:pPr>
      <w:r w:rsidRPr="00DE3D6D">
        <w:t xml:space="preserve">An </w:t>
      </w:r>
      <w:r>
        <w:t>evidence</w:t>
      </w:r>
      <w:r w:rsidR="0A6F5D9B">
        <w:t>d</w:t>
      </w:r>
      <w:r w:rsidRPr="00DE3D6D">
        <w:t xml:space="preserve"> model that should be adopted </w:t>
      </w:r>
      <w:r w:rsidR="00327781">
        <w:t>could</w:t>
      </w:r>
      <w:r w:rsidRPr="00DE3D6D">
        <w:t xml:space="preserve"> mirror the </w:t>
      </w:r>
      <w:proofErr w:type="spellStart"/>
      <w:r w:rsidRPr="00DE3D6D">
        <w:t>Translink</w:t>
      </w:r>
      <w:proofErr w:type="spellEnd"/>
      <w:r w:rsidRPr="00DE3D6D">
        <w:t xml:space="preserve"> Assistance Animal Pass, as compared to the GHAD Act certification and handler identity processes. Benefits of this system include: </w:t>
      </w:r>
    </w:p>
    <w:p w14:paraId="75FC6406" w14:textId="729141DA" w:rsidR="00DE3D6D" w:rsidRPr="00DE3D6D" w:rsidRDefault="00DE3D6D" w:rsidP="00344D63">
      <w:pPr>
        <w:pStyle w:val="QIDANParagraph"/>
        <w:numPr>
          <w:ilvl w:val="1"/>
          <w:numId w:val="15"/>
        </w:numPr>
        <w:ind w:left="567" w:hanging="283"/>
        <w:rPr>
          <w:lang w:val="en-US"/>
        </w:rPr>
      </w:pPr>
      <w:r w:rsidRPr="00DE3D6D">
        <w:t xml:space="preserve">it applies to all assistance animals, not just dogs, in keeping with the definition in the </w:t>
      </w:r>
      <w:r w:rsidR="00C663B8">
        <w:t>DDA.</w:t>
      </w:r>
      <w:r w:rsidRPr="00DE3D6D">
        <w:t xml:space="preserve"> This reflects the increasing recognition of the benefits of assistance animals for people with a variety of disability types, not just people with vision </w:t>
      </w:r>
      <w:proofErr w:type="gramStart"/>
      <w:r w:rsidRPr="00DE3D6D">
        <w:t>impairments;</w:t>
      </w:r>
      <w:proofErr w:type="gramEnd"/>
    </w:p>
    <w:p w14:paraId="6E96416C" w14:textId="77777777" w:rsidR="00DE3D6D" w:rsidRPr="00DE3D6D" w:rsidRDefault="00DE3D6D" w:rsidP="00344D63">
      <w:pPr>
        <w:pStyle w:val="QIDANParagraph"/>
        <w:numPr>
          <w:ilvl w:val="1"/>
          <w:numId w:val="15"/>
        </w:numPr>
        <w:ind w:left="567" w:hanging="283"/>
        <w:rPr>
          <w:lang w:val="en-US"/>
        </w:rPr>
      </w:pPr>
      <w:r w:rsidRPr="00DE3D6D">
        <w:t xml:space="preserve">it is inexpensive to obtain, as compared to the costs of applying for a Handler Identity Card which must be renewed every 3 years and at significant cost to the person with disability due to the training and certification required. This is critically important, given that many people with disability experience poverty and financial </w:t>
      </w:r>
      <w:proofErr w:type="gramStart"/>
      <w:r w:rsidRPr="00DE3D6D">
        <w:t>hardship;</w:t>
      </w:r>
      <w:proofErr w:type="gramEnd"/>
    </w:p>
    <w:p w14:paraId="1558C732" w14:textId="7BCFBE64" w:rsidR="00DE3D6D" w:rsidRPr="00DE3D6D" w:rsidRDefault="00DE3D6D" w:rsidP="00344D63">
      <w:pPr>
        <w:pStyle w:val="QIDANParagraph"/>
        <w:numPr>
          <w:ilvl w:val="1"/>
          <w:numId w:val="15"/>
        </w:numPr>
        <w:ind w:left="567" w:hanging="283"/>
        <w:rPr>
          <w:lang w:val="en-US"/>
        </w:rPr>
      </w:pPr>
      <w:r w:rsidRPr="00DE3D6D">
        <w:lastRenderedPageBreak/>
        <w:t xml:space="preserve">the </w:t>
      </w:r>
      <w:proofErr w:type="spellStart"/>
      <w:r w:rsidRPr="00DE3D6D">
        <w:t>Translink</w:t>
      </w:r>
      <w:proofErr w:type="spellEnd"/>
      <w:r w:rsidRPr="00DE3D6D">
        <w:t xml:space="preserve"> Assistance Animal Pass is much simpler to apply for and has a longer validity period of 5 years, making it a far more accessible option; and</w:t>
      </w:r>
    </w:p>
    <w:p w14:paraId="09DE7F7E" w14:textId="77777777" w:rsidR="00DE3D6D" w:rsidRPr="00DE3D6D" w:rsidRDefault="00DE3D6D" w:rsidP="00344D63">
      <w:pPr>
        <w:pStyle w:val="QIDANParagraph"/>
        <w:numPr>
          <w:ilvl w:val="1"/>
          <w:numId w:val="15"/>
        </w:numPr>
        <w:ind w:left="567" w:hanging="283"/>
        <w:rPr>
          <w:lang w:val="en-US"/>
        </w:rPr>
      </w:pPr>
      <w:r w:rsidRPr="00DE3D6D">
        <w:t>it still requires assistance animals to meet standards of hygiene and behaviour that are appropriate for an animal in a public place by requiring veterinary and trainer declarations of suitability.</w:t>
      </w:r>
    </w:p>
    <w:p w14:paraId="4165B282" w14:textId="40B982FB" w:rsidR="00DE3D6D" w:rsidRPr="00DE3D6D" w:rsidRDefault="00DE3D6D" w:rsidP="00DE3D6D">
      <w:pPr>
        <w:pStyle w:val="QIDANParagraph"/>
      </w:pPr>
      <w:bookmarkStart w:id="11" w:name="_Hlk210911302"/>
      <w:bookmarkEnd w:id="10"/>
      <w:r w:rsidRPr="00DE3D6D">
        <w:t xml:space="preserve">Introducing a nationally consistent identity card and logo would be a welcome development, </w:t>
      </w:r>
      <w:r w:rsidR="00DD74F8">
        <w:t>with further</w:t>
      </w:r>
      <w:r w:rsidR="000F5B9A">
        <w:t xml:space="preserve"> consideration</w:t>
      </w:r>
      <w:r w:rsidR="00F6321F">
        <w:t xml:space="preserve"> being necessary as to who</w:t>
      </w:r>
      <w:r w:rsidRPr="00DE3D6D">
        <w:t xml:space="preserve"> will be responsible for issuing these cards. </w:t>
      </w:r>
      <w:r w:rsidR="008E1619">
        <w:t xml:space="preserve">This will </w:t>
      </w:r>
      <w:r w:rsidR="00030881">
        <w:t xml:space="preserve">provide clarity to duty holders, for the purpose of the exemption under section 54A of the DDA. </w:t>
      </w:r>
      <w:r w:rsidRPr="00DE3D6D">
        <w:t xml:space="preserve">QIDAN recommends the creation of a pass </w:t>
      </w:r>
      <w:proofErr w:type="gramStart"/>
      <w:r w:rsidRPr="00DE3D6D">
        <w:t>similar to</w:t>
      </w:r>
      <w:proofErr w:type="gramEnd"/>
      <w:r w:rsidRPr="00DE3D6D">
        <w:t xml:space="preserve"> the Queensland </w:t>
      </w:r>
      <w:proofErr w:type="spellStart"/>
      <w:r w:rsidRPr="00DE3D6D">
        <w:t>Translink</w:t>
      </w:r>
      <w:proofErr w:type="spellEnd"/>
      <w:r w:rsidRPr="00DE3D6D">
        <w:t xml:space="preserve"> Assistance Animal </w:t>
      </w:r>
      <w:proofErr w:type="gramStart"/>
      <w:r w:rsidRPr="00DE3D6D">
        <w:t>Pass</w:t>
      </w:r>
      <w:proofErr w:type="gramEnd"/>
      <w:r w:rsidRPr="00DE3D6D">
        <w:t xml:space="preserve"> but which applies to all community settings, not just Brisbane City Council transport services as the </w:t>
      </w:r>
      <w:proofErr w:type="spellStart"/>
      <w:r w:rsidRPr="00DE3D6D">
        <w:t>Translink</w:t>
      </w:r>
      <w:proofErr w:type="spellEnd"/>
      <w:r w:rsidRPr="00DE3D6D">
        <w:t xml:space="preserve"> Assistance Animal Pass </w:t>
      </w:r>
      <w:proofErr w:type="gramStart"/>
      <w:r w:rsidRPr="00DE3D6D">
        <w:t>is</w:t>
      </w:r>
      <w:proofErr w:type="gramEnd"/>
      <w:r w:rsidRPr="00DE3D6D">
        <w:t xml:space="preserve"> currently limited to. </w:t>
      </w:r>
    </w:p>
    <w:bookmarkEnd w:id="11"/>
    <w:p w14:paraId="51FA94F3" w14:textId="3A72C4E6" w:rsidR="005440E8" w:rsidRPr="00DE3D6D" w:rsidRDefault="0018101C" w:rsidP="00344D63">
      <w:pPr>
        <w:pStyle w:val="QIDANParagraph"/>
        <w:spacing w:after="240"/>
        <w:rPr>
          <w:lang w:val="en-US"/>
        </w:rPr>
      </w:pPr>
      <w:r>
        <w:rPr>
          <w:lang w:val="en-US"/>
        </w:rPr>
        <w:t xml:space="preserve">Specific training </w:t>
      </w:r>
      <w:proofErr w:type="spellStart"/>
      <w:r>
        <w:rPr>
          <w:lang w:val="en-US"/>
        </w:rPr>
        <w:t>organisations</w:t>
      </w:r>
      <w:proofErr w:type="spellEnd"/>
      <w:r>
        <w:rPr>
          <w:lang w:val="en-US"/>
        </w:rPr>
        <w:t xml:space="preserve"> should not be prescribed by regulations. </w:t>
      </w:r>
      <w:r w:rsidR="00DE3D6D" w:rsidRPr="00DE3D6D">
        <w:rPr>
          <w:lang w:val="en-US"/>
        </w:rPr>
        <w:t xml:space="preserve">The current shortage of accredited trainers in regional and remote parts of Australia will continue to present a barrier to people with disability accessing a Public Access Test (PAT) for their animals if this test can only be performed by a limited number of training providers. PAT 5 tests are likely to incur costs for all, but these would be significantly higher for people with disability in regional and remote areas. </w:t>
      </w:r>
    </w:p>
    <w:p w14:paraId="5E0B0534" w14:textId="4549E3EB" w:rsidR="00B05618" w:rsidRPr="00081F78" w:rsidRDefault="00B05618" w:rsidP="00081F78">
      <w:pPr>
        <w:pStyle w:val="QIDANParagraph"/>
        <w:rPr>
          <w:b/>
          <w:bCs/>
          <w:color w:val="690048"/>
        </w:rPr>
      </w:pPr>
      <w:r w:rsidRPr="00081F78">
        <w:rPr>
          <w:b/>
          <w:bCs/>
          <w:color w:val="690048"/>
        </w:rPr>
        <w:t>Disability action plans</w:t>
      </w:r>
    </w:p>
    <w:p w14:paraId="060FFE52" w14:textId="5DB3A3BA" w:rsidR="00EC41B2" w:rsidRDefault="00EC41B2" w:rsidP="00EC41B2">
      <w:pPr>
        <w:pStyle w:val="QIDANParagraph"/>
      </w:pPr>
      <w:r w:rsidRPr="00954835">
        <w:t>Encourag</w:t>
      </w:r>
      <w:r w:rsidR="00954835" w:rsidRPr="00954835">
        <w:t>ing</w:t>
      </w:r>
      <w:r w:rsidRPr="00954835">
        <w:t xml:space="preserve"> the use of disability action plans </w:t>
      </w:r>
      <w:r w:rsidR="00954835" w:rsidRPr="00954835">
        <w:t>i</w:t>
      </w:r>
      <w:r w:rsidRPr="00954835">
        <w:t>s another</w:t>
      </w:r>
      <w:r>
        <w:t xml:space="preserve"> practical way of ensuring compliance with a positive duty to eliminate discrimination.</w:t>
      </w:r>
      <w:r w:rsidR="00122A41">
        <w:t xml:space="preserve"> </w:t>
      </w:r>
      <w:r w:rsidR="005F1574">
        <w:t>Minimum requirements for action plans</w:t>
      </w:r>
      <w:r w:rsidR="00D33033">
        <w:t xml:space="preserve"> and review periods</w:t>
      </w:r>
      <w:r w:rsidR="005F1574">
        <w:t xml:space="preserve"> should be </w:t>
      </w:r>
      <w:r w:rsidR="00C43F0A">
        <w:t>designed</w:t>
      </w:r>
      <w:r w:rsidR="0023762A">
        <w:t xml:space="preserve"> and drafted </w:t>
      </w:r>
      <w:r w:rsidR="005F1574">
        <w:t>by people with disability</w:t>
      </w:r>
      <w:r w:rsidR="008F26E4">
        <w:t>. Our suggestions for minimum requirements are:</w:t>
      </w:r>
    </w:p>
    <w:p w14:paraId="0380BA17" w14:textId="7C6FBFB2" w:rsidR="00C73074" w:rsidRPr="00C73074" w:rsidRDefault="00C73074" w:rsidP="003D5FB8">
      <w:pPr>
        <w:pStyle w:val="QIDANParagraph"/>
        <w:numPr>
          <w:ilvl w:val="0"/>
          <w:numId w:val="17"/>
        </w:numPr>
        <w:ind w:left="567" w:hanging="283"/>
      </w:pPr>
      <w:r w:rsidRPr="00C73074">
        <w:rPr>
          <w:lang w:val="en-GB"/>
        </w:rPr>
        <w:t>An Inclusive Employment Strategy</w:t>
      </w:r>
      <w:r>
        <w:rPr>
          <w:lang w:val="en-GB"/>
        </w:rPr>
        <w:t>:</w:t>
      </w:r>
      <w:r w:rsidRPr="00C73074">
        <w:rPr>
          <w:lang w:val="en-GB"/>
        </w:rPr>
        <w:t xml:space="preserve"> for recruitment and retention of people in the workforce including a set of disability work policies, disability related leave entitlements and unfunded workplace modifications which are currently out of the scope of Job Access. </w:t>
      </w:r>
    </w:p>
    <w:p w14:paraId="60248890" w14:textId="77777777" w:rsidR="00C73074" w:rsidRPr="00C73074" w:rsidRDefault="00C73074" w:rsidP="003D5FB8">
      <w:pPr>
        <w:pStyle w:val="QIDANParagraph"/>
        <w:numPr>
          <w:ilvl w:val="0"/>
          <w:numId w:val="17"/>
        </w:numPr>
        <w:ind w:left="567" w:hanging="283"/>
      </w:pPr>
      <w:r w:rsidRPr="00C73074">
        <w:rPr>
          <w:lang w:val="en-GB"/>
        </w:rPr>
        <w:t xml:space="preserve">Disability awareness training to all staff to ensure a safe working environment. </w:t>
      </w:r>
    </w:p>
    <w:p w14:paraId="52F2F4B6" w14:textId="7497D8FF" w:rsidR="00C43F0A" w:rsidRDefault="00C73074" w:rsidP="003D5FB8">
      <w:pPr>
        <w:pStyle w:val="QIDANParagraph"/>
        <w:numPr>
          <w:ilvl w:val="0"/>
          <w:numId w:val="17"/>
        </w:numPr>
        <w:ind w:left="567" w:hanging="283"/>
      </w:pPr>
      <w:r w:rsidRPr="00C73074">
        <w:rPr>
          <w:lang w:val="en-GB"/>
        </w:rPr>
        <w:lastRenderedPageBreak/>
        <w:t>Accessible workplace environments and systems with the supports for passive technology and alternate communication</w:t>
      </w:r>
      <w:r>
        <w:rPr>
          <w:lang w:val="en-GB"/>
        </w:rPr>
        <w:t>.</w:t>
      </w:r>
      <w:r w:rsidR="00C43F0A">
        <w:t xml:space="preserve"> </w:t>
      </w:r>
    </w:p>
    <w:p w14:paraId="0AF21710" w14:textId="2AE7D130" w:rsidR="00C43F0A" w:rsidRDefault="00C43F0A" w:rsidP="003D5FB8">
      <w:pPr>
        <w:pStyle w:val="QIDANParagraph"/>
        <w:numPr>
          <w:ilvl w:val="0"/>
          <w:numId w:val="17"/>
        </w:numPr>
        <w:ind w:left="567" w:hanging="283"/>
      </w:pPr>
      <w:r>
        <w:t>Accountability</w:t>
      </w:r>
      <w:r w:rsidR="00C73074">
        <w:t xml:space="preserve">: </w:t>
      </w:r>
      <w:r w:rsidR="00D83018">
        <w:rPr>
          <w:lang w:val="en-GB"/>
        </w:rPr>
        <w:t>A</w:t>
      </w:r>
      <w:r w:rsidR="00C73074" w:rsidRPr="00C73074">
        <w:rPr>
          <w:lang w:val="en-GB"/>
        </w:rPr>
        <w:t>n aim to reach a 20% disability employment target in line with population rates</w:t>
      </w:r>
      <w:r w:rsidR="00C73074">
        <w:rPr>
          <w:lang w:val="en-GB"/>
        </w:rPr>
        <w:t>.</w:t>
      </w:r>
      <w:r>
        <w:t xml:space="preserve"> </w:t>
      </w:r>
    </w:p>
    <w:p w14:paraId="5D327755" w14:textId="453DC8E1" w:rsidR="00954835" w:rsidRPr="00664F1D" w:rsidRDefault="00411D87" w:rsidP="00344D63">
      <w:pPr>
        <w:pStyle w:val="QIDANParagraph"/>
        <w:spacing w:after="240"/>
      </w:pPr>
      <w:r>
        <w:t xml:space="preserve">The AHRC </w:t>
      </w:r>
      <w:r w:rsidR="0023762A">
        <w:t xml:space="preserve">should be able to </w:t>
      </w:r>
      <w:r w:rsidR="0057464E">
        <w:t xml:space="preserve">suggest improvements to disability action plans and reject those that fail to meet such requirements. </w:t>
      </w:r>
      <w:r w:rsidR="00DF3D4B">
        <w:t xml:space="preserve">An action plan template or guideline should be </w:t>
      </w:r>
      <w:r w:rsidR="008456EA">
        <w:t xml:space="preserve">produced by disability leaders in the community (like People </w:t>
      </w:r>
      <w:proofErr w:type="gramStart"/>
      <w:r w:rsidR="008456EA">
        <w:t>With</w:t>
      </w:r>
      <w:proofErr w:type="gramEnd"/>
      <w:r w:rsidR="008456EA">
        <w:t xml:space="preserve"> Disability Australia or Inclusion Australia) and be </w:t>
      </w:r>
      <w:r w:rsidR="00DF3D4B">
        <w:t>promoted in the AHRC</w:t>
      </w:r>
      <w:r w:rsidR="008456EA">
        <w:t>.</w:t>
      </w:r>
    </w:p>
    <w:p w14:paraId="2B4969A4" w14:textId="6D99D309" w:rsidR="008B0DBA" w:rsidRPr="006B7B48" w:rsidRDefault="006B7B48" w:rsidP="006B7B48">
      <w:pPr>
        <w:pStyle w:val="QIDANParagraph"/>
        <w:rPr>
          <w:b/>
          <w:bCs/>
          <w:color w:val="690048"/>
        </w:rPr>
      </w:pPr>
      <w:r w:rsidRPr="26F6AE68">
        <w:rPr>
          <w:b/>
          <w:bCs/>
          <w:color w:val="690048"/>
        </w:rPr>
        <w:t xml:space="preserve">Enforce </w:t>
      </w:r>
      <w:r w:rsidR="001C1A14" w:rsidRPr="26F6AE68">
        <w:rPr>
          <w:b/>
          <w:bCs/>
          <w:color w:val="690048"/>
        </w:rPr>
        <w:t>D</w:t>
      </w:r>
      <w:r w:rsidR="008B0DBA" w:rsidRPr="26F6AE68">
        <w:rPr>
          <w:b/>
          <w:bCs/>
          <w:color w:val="690048"/>
        </w:rPr>
        <w:t xml:space="preserve">isability </w:t>
      </w:r>
      <w:r w:rsidR="001C1A14" w:rsidRPr="26F6AE68">
        <w:rPr>
          <w:b/>
          <w:bCs/>
          <w:color w:val="690048"/>
        </w:rPr>
        <w:t>S</w:t>
      </w:r>
      <w:r w:rsidR="008B0DBA" w:rsidRPr="26F6AE68">
        <w:rPr>
          <w:b/>
          <w:bCs/>
          <w:color w:val="690048"/>
        </w:rPr>
        <w:t>tandards</w:t>
      </w:r>
      <w:r w:rsidR="449F6D1A" w:rsidRPr="26F6AE68">
        <w:rPr>
          <w:b/>
          <w:bCs/>
          <w:color w:val="690048"/>
        </w:rPr>
        <w:t>, r</w:t>
      </w:r>
      <w:r w:rsidR="00917F9C" w:rsidRPr="26F6AE68">
        <w:rPr>
          <w:b/>
          <w:bCs/>
          <w:color w:val="690048"/>
        </w:rPr>
        <w:t>eward inclusio</w:t>
      </w:r>
      <w:r w:rsidR="4E6CEB62" w:rsidRPr="26F6AE68">
        <w:rPr>
          <w:b/>
          <w:bCs/>
          <w:color w:val="690048"/>
        </w:rPr>
        <w:t>n, mandate c</w:t>
      </w:r>
      <w:r w:rsidR="29FDADEF" w:rsidRPr="26F6AE68">
        <w:rPr>
          <w:b/>
          <w:bCs/>
          <w:color w:val="690048"/>
        </w:rPr>
        <w:t xml:space="preserve">onsequences for </w:t>
      </w:r>
      <w:r w:rsidR="001C1A14" w:rsidRPr="26F6AE68">
        <w:rPr>
          <w:b/>
          <w:bCs/>
          <w:color w:val="690048"/>
        </w:rPr>
        <w:t>noncompliance</w:t>
      </w:r>
    </w:p>
    <w:p w14:paraId="5F1CA9CF" w14:textId="00F8C99D" w:rsidR="00F01A5B" w:rsidRDefault="002A0A09" w:rsidP="00081F78">
      <w:pPr>
        <w:pStyle w:val="QIDANParagraph"/>
      </w:pPr>
      <w:r>
        <w:t>The introduction of a positive duty will strengthen enforcement of Disability Standards</w:t>
      </w:r>
      <w:r w:rsidR="0031778E">
        <w:t>, as it would mean duty holders</w:t>
      </w:r>
      <w:r w:rsidR="0030678F">
        <w:t xml:space="preserve"> would need to ensure they are compliant with the Disability Standards to meet their obligation under the positive duty.</w:t>
      </w:r>
      <w:r w:rsidR="00EF5369">
        <w:t xml:space="preserve"> It will be beneficial to provide the AHRC with additional powers to enforce such compliance</w:t>
      </w:r>
      <w:r w:rsidR="004951F7">
        <w:t xml:space="preserve">, including through </w:t>
      </w:r>
      <w:r w:rsidR="00113D5B">
        <w:t xml:space="preserve">guidance in </w:t>
      </w:r>
      <w:r w:rsidR="004951F7">
        <w:t>preparation of disability action plans.</w:t>
      </w:r>
    </w:p>
    <w:p w14:paraId="14CE5704" w14:textId="1F27FF6D" w:rsidR="00D34DBC" w:rsidRPr="00D34DBC" w:rsidRDefault="00D34DBC" w:rsidP="00081F78">
      <w:pPr>
        <w:pStyle w:val="QIDANParagraph"/>
      </w:pPr>
      <w:r w:rsidRPr="00D34DBC">
        <w:t>For the Education Standards, the language in the Standards and Guidance Notes should be amended to impose clearer legislative requirements on education providers to respond to requests for adjustments in a systematic and transparent manner, such as through the introduction of enforceable timeframes and a legal requirement to provide written responses to requests for adjustments.</w:t>
      </w:r>
    </w:p>
    <w:p w14:paraId="33039AB3" w14:textId="47211926" w:rsidR="00037B92" w:rsidRPr="00D34DBC" w:rsidRDefault="00D34DBC" w:rsidP="00081F78">
      <w:pPr>
        <w:pStyle w:val="QIDANParagraph"/>
      </w:pPr>
      <w:r w:rsidRPr="00D34DBC">
        <w:t>Reform must urgently address poor compliance with the Standards and the subsequent discriminatory decision-making that continues to plague the educational experiences of students with disability</w:t>
      </w:r>
      <w:r w:rsidR="00FD7223">
        <w:t>, as</w:t>
      </w:r>
      <w:r w:rsidR="0032669F">
        <w:t xml:space="preserve"> previously</w:t>
      </w:r>
      <w:r w:rsidR="00FD7223">
        <w:t xml:space="preserve"> outlined</w:t>
      </w:r>
      <w:r w:rsidRPr="00D34DBC">
        <w:t xml:space="preserve">. Greater consistency, transparency and accountability </w:t>
      </w:r>
      <w:r w:rsidR="00FD7223" w:rsidRPr="00D34DBC">
        <w:t>are</w:t>
      </w:r>
      <w:r w:rsidRPr="00D34DBC">
        <w:t xml:space="preserve"> desperately needed. Decision-making in relation to requests for adjustments must not fall solely in the hands of principals but should be the outcome of a </w:t>
      </w:r>
      <w:r w:rsidRPr="00D34DBC">
        <w:lastRenderedPageBreak/>
        <w:t xml:space="preserve">consultation process that meaningfully involves all stakeholders, including </w:t>
      </w:r>
      <w:r w:rsidR="00DD249D">
        <w:t xml:space="preserve">people with disability and </w:t>
      </w:r>
      <w:r w:rsidRPr="00D34DBC">
        <w:t>the Regional Office.</w:t>
      </w:r>
      <w:r w:rsidR="0007338C">
        <w:rPr>
          <w:rStyle w:val="FootnoteReference"/>
        </w:rPr>
        <w:footnoteReference w:id="36"/>
      </w:r>
    </w:p>
    <w:p w14:paraId="7E567DF2" w14:textId="7CC735D1" w:rsidR="00D34DBC" w:rsidRPr="00D34DBC" w:rsidRDefault="00D34DBC" w:rsidP="00081F78">
      <w:pPr>
        <w:pStyle w:val="QIDANParagraph"/>
      </w:pPr>
      <w:r w:rsidRPr="00D34DBC">
        <w:t>On the Disability Standards for Accessible Public Transport (</w:t>
      </w:r>
      <w:r w:rsidRPr="00D34DBC">
        <w:rPr>
          <w:b/>
          <w:bCs/>
        </w:rPr>
        <w:t>DSAPT</w:t>
      </w:r>
      <w:r w:rsidRPr="00D34DBC">
        <w:t>), Q</w:t>
      </w:r>
      <w:r w:rsidR="00686168">
        <w:t>AI</w:t>
      </w:r>
      <w:r w:rsidRPr="00D34DBC">
        <w:t xml:space="preserve"> has previously recommended in </w:t>
      </w:r>
      <w:r w:rsidRPr="00E93B1E">
        <w:t>its review of the DSAPT</w:t>
      </w:r>
      <w:r w:rsidRPr="00D34DBC">
        <w:t xml:space="preserve"> that legislative change is required to ensure the accessibility of public transport from planning to procurement, manufacture and service.</w:t>
      </w:r>
      <w:r w:rsidR="007F37EB">
        <w:rPr>
          <w:rStyle w:val="FootnoteReference"/>
        </w:rPr>
        <w:footnoteReference w:id="37"/>
      </w:r>
      <w:r w:rsidRPr="00D34DBC">
        <w:t xml:space="preserve"> This includes compliance with the DDA, the DSAPT and consultation with </w:t>
      </w:r>
      <w:r w:rsidR="4CB29A1B">
        <w:t xml:space="preserve">people </w:t>
      </w:r>
      <w:r>
        <w:t xml:space="preserve">with </w:t>
      </w:r>
      <w:r w:rsidR="6DB5D533">
        <w:t xml:space="preserve">disability </w:t>
      </w:r>
      <w:r w:rsidRPr="00D34DBC">
        <w:t xml:space="preserve">throughout the process. </w:t>
      </w:r>
      <w:r w:rsidR="00BB4C75" w:rsidRPr="00D34DBC">
        <w:t>To</w:t>
      </w:r>
      <w:r w:rsidRPr="00D34DBC">
        <w:t xml:space="preserve"> ensure that public transport meets everyone’s needs, people with disability must co-design the transport hardware, physical infrastructure, communications and staffing arrangements. </w:t>
      </w:r>
    </w:p>
    <w:p w14:paraId="2BDB9D46" w14:textId="572ABAFA" w:rsidR="00D34DBC" w:rsidRPr="005D197B" w:rsidRDefault="00D34DBC" w:rsidP="00081F78">
      <w:pPr>
        <w:pStyle w:val="QIDANParagraph"/>
      </w:pPr>
      <w:r w:rsidRPr="00D34DBC">
        <w:t xml:space="preserve">A noted difficulty with the Transport Standards is that no matter how specific and detailed they are, they cannot cover every transport contingency. The Standards can be specific about the dimensions of </w:t>
      </w:r>
      <w:proofErr w:type="gramStart"/>
      <w:r w:rsidRPr="00D34DBC">
        <w:t>particular public</w:t>
      </w:r>
      <w:proofErr w:type="gramEnd"/>
      <w:r w:rsidRPr="00D34DBC">
        <w:t xml:space="preserve"> transport conveyances by stipulating that access paths, for example, must be of a minimum width, or that the toilet pan must be placed a certain distance from the wall, and that the bathroom must have certain minimum dimensions to ensure that a wheelchair can move reasonably freely. The public transport journey, however, does not begin or end at the vehicle. The Standards say little about what happens before the person arrives at their seat or allocated space in the vehicle and after they leave it. There is enormous variability in the built environment and associated infrastructure that is part of the whole journey. This supports the necessity to require people with disability to assist in the design phase of the transport hardware, infrastructure, communications and staffing arrangements.</w:t>
      </w:r>
    </w:p>
    <w:p w14:paraId="18F8DB4B" w14:textId="775B09BC" w:rsidR="00F06830" w:rsidRDefault="00F06830" w:rsidP="00F06830">
      <w:pPr>
        <w:pStyle w:val="Heading1"/>
        <w:rPr>
          <w:rFonts w:ascii="Nunito Sans" w:hAnsi="Nunito Sans" w:cs="Poppins SemiBold"/>
          <w:b/>
          <w:bCs/>
          <w:color w:val="690048"/>
          <w:sz w:val="28"/>
          <w:szCs w:val="28"/>
        </w:rPr>
      </w:pPr>
      <w:bookmarkStart w:id="12" w:name="_Toc212816952"/>
      <w:r>
        <w:rPr>
          <w:rFonts w:ascii="Nunito Sans" w:hAnsi="Nunito Sans" w:cs="Poppins SemiBold"/>
          <w:b/>
          <w:bCs/>
          <w:color w:val="690048"/>
          <w:sz w:val="28"/>
          <w:szCs w:val="28"/>
        </w:rPr>
        <w:t>Further options for reform</w:t>
      </w:r>
      <w:bookmarkEnd w:id="12"/>
    </w:p>
    <w:p w14:paraId="330E6569" w14:textId="55C4FAB3" w:rsidR="003B38EC" w:rsidRPr="003B38EC" w:rsidRDefault="003D5FB8" w:rsidP="003B38EC">
      <w:pPr>
        <w:pStyle w:val="QIDANParagraph"/>
      </w:pPr>
      <w:r>
        <w:t>As</w:t>
      </w:r>
      <w:r w:rsidR="00E93B1E">
        <w:t xml:space="preserve"> mentioned earlier, i</w:t>
      </w:r>
      <w:r w:rsidR="00DC4EA7">
        <w:t xml:space="preserve">n 2021, the </w:t>
      </w:r>
      <w:r w:rsidR="00E93B1E">
        <w:t>QHRC</w:t>
      </w:r>
      <w:r w:rsidR="00DC4EA7">
        <w:t xml:space="preserve"> </w:t>
      </w:r>
      <w:r w:rsidR="00DC1B2A">
        <w:t xml:space="preserve">undertook a review of the </w:t>
      </w:r>
      <w:r w:rsidR="00E93B1E" w:rsidRPr="00E93B1E">
        <w:t>ADA</w:t>
      </w:r>
      <w:r w:rsidR="003B38EC">
        <w:t xml:space="preserve">. </w:t>
      </w:r>
      <w:r w:rsidR="003B38EC" w:rsidRPr="003B38EC">
        <w:t>This review was the first holistic consideration of the A</w:t>
      </w:r>
      <w:r w:rsidR="00E93B1E">
        <w:t>DA</w:t>
      </w:r>
      <w:r w:rsidR="003B38EC" w:rsidRPr="003B38EC">
        <w:t xml:space="preserve"> since its </w:t>
      </w:r>
      <w:r w:rsidR="003720DE" w:rsidRPr="003B38EC">
        <w:t>introduction and</w:t>
      </w:r>
      <w:r w:rsidR="003B38EC" w:rsidRPr="003B38EC">
        <w:t xml:space="preserve"> provided a </w:t>
      </w:r>
      <w:r w:rsidR="003B38EC" w:rsidRPr="003B38EC">
        <w:lastRenderedPageBreak/>
        <w:t>valuable opportunity to ensure that Queensland’s anti-discrimination laws are up to date with the changing needs of our society.</w:t>
      </w:r>
    </w:p>
    <w:p w14:paraId="204E5559" w14:textId="1367F5D3" w:rsidR="00FD3B44" w:rsidRDefault="003B38EC" w:rsidP="003D128E">
      <w:pPr>
        <w:pStyle w:val="QIDANParagraph"/>
        <w:spacing w:after="240"/>
      </w:pPr>
      <w:r w:rsidRPr="003B38EC">
        <w:t>The final report</w:t>
      </w:r>
      <w:r w:rsidR="00E93B1E">
        <w:t xml:space="preserve"> Building Belonging </w:t>
      </w:r>
      <w:r w:rsidR="00507B16">
        <w:t>report</w:t>
      </w:r>
      <w:r w:rsidRPr="003B38EC">
        <w:t> made 46 recommendations aimed at modernising and strengthening Queensland’s discrimination protections.</w:t>
      </w:r>
      <w:r w:rsidR="00507B16">
        <w:rPr>
          <w:rStyle w:val="FootnoteReference"/>
        </w:rPr>
        <w:footnoteReference w:id="38"/>
      </w:r>
      <w:r w:rsidR="001976AE">
        <w:t xml:space="preserve"> In support of</w:t>
      </w:r>
      <w:r w:rsidR="004D7CDF">
        <w:t xml:space="preserve"> all recommendations made in that report, the </w:t>
      </w:r>
      <w:r w:rsidR="006F16FF">
        <w:t xml:space="preserve">then </w:t>
      </w:r>
      <w:r w:rsidR="00952720" w:rsidRPr="00952720">
        <w:t xml:space="preserve">proposed </w:t>
      </w:r>
      <w:hyperlink r:id="rId15" w:history="1">
        <w:r w:rsidR="006F16FF" w:rsidRPr="006F16FF">
          <w:rPr>
            <w:rStyle w:val="Hyperlink"/>
            <w:lang w:val="en-GB"/>
          </w:rPr>
          <w:t>Anti-Discrimination Bill 2024</w:t>
        </w:r>
      </w:hyperlink>
      <w:r w:rsidR="006F16FF" w:rsidRPr="006F16FF">
        <w:rPr>
          <w:lang w:val="en-GB"/>
        </w:rPr>
        <w:t> </w:t>
      </w:r>
      <w:r w:rsidR="00952720" w:rsidRPr="00952720">
        <w:t>would fundamentally alter the operation of Queensland’s discrimination legislation with a view to ensuring it is a modern and effective instrument that appropriately protects people from discrimination, sexual harassment, vilification and other objectionable</w:t>
      </w:r>
      <w:r w:rsidR="00F00F9E">
        <w:t xml:space="preserve"> </w:t>
      </w:r>
      <w:r w:rsidR="00952720" w:rsidRPr="00952720">
        <w:t>/</w:t>
      </w:r>
      <w:r w:rsidR="00F00F9E">
        <w:t xml:space="preserve"> </w:t>
      </w:r>
      <w:r w:rsidR="00952720" w:rsidRPr="00952720">
        <w:t>unlawful conduct.</w:t>
      </w:r>
      <w:r w:rsidR="00F00F9E">
        <w:t xml:space="preserve"> </w:t>
      </w:r>
      <w:r w:rsidR="006F16FF">
        <w:t xml:space="preserve">The proposed reforms were broadly supported by the Queensland community. However, unfortunately the reforms were </w:t>
      </w:r>
      <w:r w:rsidR="00F24091">
        <w:t>delayed with no future date announced</w:t>
      </w:r>
      <w:r w:rsidR="00522AD3">
        <w:t xml:space="preserve"> for the new laws to come into effect. </w:t>
      </w:r>
      <w:r w:rsidR="003D128E">
        <w:t xml:space="preserve">The </w:t>
      </w:r>
      <w:r w:rsidR="00522AD3">
        <w:t xml:space="preserve">amendments proposed in the Queensland </w:t>
      </w:r>
      <w:r w:rsidR="008B0B27">
        <w:t>ADA</w:t>
      </w:r>
      <w:r w:rsidR="00522AD3">
        <w:t xml:space="preserve"> </w:t>
      </w:r>
      <w:r w:rsidR="003D128E">
        <w:t>should be</w:t>
      </w:r>
      <w:r w:rsidR="00522AD3">
        <w:t xml:space="preserve"> considered </w:t>
      </w:r>
      <w:r w:rsidR="00E33763">
        <w:t xml:space="preserve">for the amendments of the DDA, where relevant. </w:t>
      </w:r>
    </w:p>
    <w:p w14:paraId="21A45116" w14:textId="40B2EAEE" w:rsidR="00207BA0" w:rsidRPr="00207BA0" w:rsidRDefault="00207BA0" w:rsidP="002E4D8D">
      <w:pPr>
        <w:pStyle w:val="QIDANParagraph"/>
        <w:rPr>
          <w:b/>
          <w:bCs/>
          <w:color w:val="690048"/>
        </w:rPr>
      </w:pPr>
      <w:r w:rsidRPr="00207BA0">
        <w:rPr>
          <w:b/>
          <w:bCs/>
          <w:color w:val="690048"/>
        </w:rPr>
        <w:t>The role of the AHRC</w:t>
      </w:r>
    </w:p>
    <w:p w14:paraId="54C31C87" w14:textId="3699FF83" w:rsidR="002E4D8D" w:rsidRDefault="00003C28" w:rsidP="003303AB">
      <w:pPr>
        <w:pStyle w:val="QIDANParagraph"/>
      </w:pPr>
      <w:r>
        <w:t xml:space="preserve">The </w:t>
      </w:r>
      <w:r w:rsidR="00E74353">
        <w:t xml:space="preserve">AHRC should </w:t>
      </w:r>
      <w:r w:rsidR="00AB5204">
        <w:t xml:space="preserve">be responsible for </w:t>
      </w:r>
      <w:r w:rsidR="00A35F7E">
        <w:t xml:space="preserve">educating duty holders and the community about their obligations and </w:t>
      </w:r>
      <w:r w:rsidR="00DC11C1">
        <w:t xml:space="preserve">rights. This should be disability </w:t>
      </w:r>
      <w:r w:rsidR="00BE0948">
        <w:t>led,</w:t>
      </w:r>
      <w:r w:rsidR="000F5E66">
        <w:t xml:space="preserve"> and it may include </w:t>
      </w:r>
      <w:r w:rsidR="00EE4081">
        <w:t xml:space="preserve">involving </w:t>
      </w:r>
      <w:r w:rsidR="00EE6FAC">
        <w:t xml:space="preserve">key leaders in the disability community to deliver training in disability awareness and </w:t>
      </w:r>
      <w:r w:rsidR="00553F82">
        <w:t xml:space="preserve">protection against discrimination. </w:t>
      </w:r>
      <w:r w:rsidR="00BE0948">
        <w:t>The AHRC website should contain information and guidance materials, in accessible formats</w:t>
      </w:r>
      <w:r w:rsidR="002A2F6D">
        <w:t xml:space="preserve">. </w:t>
      </w:r>
      <w:r w:rsidR="00A76ECA">
        <w:t xml:space="preserve">People with disability need to understand what their rights are under the DDA. </w:t>
      </w:r>
      <w:r w:rsidR="002A2F6D">
        <w:t xml:space="preserve">Additionally, business and employers should </w:t>
      </w:r>
      <w:r w:rsidR="00C32972">
        <w:t xml:space="preserve">be made aware of their obligations under the DDA </w:t>
      </w:r>
      <w:r w:rsidR="00C56CE3">
        <w:t xml:space="preserve">and </w:t>
      </w:r>
      <w:r w:rsidR="00186FCA">
        <w:t>be held accountable as part of their licenses, permits and regulatory requirements.</w:t>
      </w:r>
      <w:r w:rsidR="00531BF0">
        <w:t xml:space="preserve"> </w:t>
      </w:r>
      <w:r w:rsidR="002E4D8D" w:rsidRPr="002E4D8D">
        <w:t>A review should be prescribed after a reasonable period (e</w:t>
      </w:r>
      <w:r w:rsidR="00460F77">
        <w:t>.</w:t>
      </w:r>
      <w:r w:rsidR="002E4D8D" w:rsidRPr="002E4D8D">
        <w:t>g</w:t>
      </w:r>
      <w:r w:rsidR="00460F77">
        <w:t>.</w:t>
      </w:r>
      <w:r w:rsidR="002E4D8D" w:rsidRPr="002E4D8D">
        <w:t xml:space="preserve"> five years) to examine the effectiveness of the changes made.</w:t>
      </w:r>
    </w:p>
    <w:p w14:paraId="234AD75F" w14:textId="78A11AB9" w:rsidR="00B0451C" w:rsidRPr="00664F1D" w:rsidRDefault="00664F1D" w:rsidP="003303AB">
      <w:pPr>
        <w:pStyle w:val="QIDANParagraph"/>
        <w:spacing w:before="240"/>
        <w:rPr>
          <w:b/>
          <w:bCs/>
          <w:color w:val="690048"/>
        </w:rPr>
      </w:pPr>
      <w:r>
        <w:rPr>
          <w:b/>
          <w:bCs/>
          <w:color w:val="690048"/>
        </w:rPr>
        <w:t>Create</w:t>
      </w:r>
      <w:r w:rsidR="00DB3D04" w:rsidRPr="00664F1D">
        <w:rPr>
          <w:b/>
          <w:bCs/>
          <w:color w:val="690048"/>
        </w:rPr>
        <w:t xml:space="preserve"> a Federal Human Rights Act</w:t>
      </w:r>
    </w:p>
    <w:p w14:paraId="66BFD072" w14:textId="7FC35A17" w:rsidR="00DD706D" w:rsidRDefault="00DD706D" w:rsidP="00F70F15">
      <w:pPr>
        <w:pStyle w:val="QIDANParagraph"/>
      </w:pPr>
      <w:r>
        <w:t xml:space="preserve">Essential reforms to the </w:t>
      </w:r>
      <w:r w:rsidR="000D0BCB">
        <w:t>DDA</w:t>
      </w:r>
      <w:r>
        <w:t xml:space="preserve"> can be improved in their operation and effectiveness with the introduction of a Human Rights Act. As shown in Victoria, Queensland, and the Australian Capital Territory that have both discrimination laws and a Human Rights Act (in Victoria </w:t>
      </w:r>
      <w:r>
        <w:lastRenderedPageBreak/>
        <w:t xml:space="preserve">called a Charter), the positive rights in a Human Rights Act improve the interpretation and operation of discrimination acts by including the rights such as the right to equality before the law, the right to privacy, and the right to dignified treatment that can be included in determining whether a person has been discriminated against. An Act’s ‘dialogue model’ can be used to challenge laws and regulations that are in themselves discriminatory. Conversely, reformed and modernised discrimination laws help with the operation of a Human Rights Act by complementing the rights outlined in an Act must be enjoyed by all without discrimination. The </w:t>
      </w:r>
      <w:r w:rsidR="00102E4B">
        <w:t>DRC</w:t>
      </w:r>
      <w:r>
        <w:t xml:space="preserve"> recommendation of both positive rights and reforms to discrimination law are reflected in their recommendations,</w:t>
      </w:r>
      <w:r w:rsidR="00506B32">
        <w:rPr>
          <w:rStyle w:val="FootnoteReference"/>
        </w:rPr>
        <w:footnoteReference w:id="39"/>
      </w:r>
      <w:r>
        <w:t xml:space="preserve"> and whilst the D</w:t>
      </w:r>
      <w:r w:rsidR="00506B32">
        <w:t>RC</w:t>
      </w:r>
      <w:r>
        <w:t xml:space="preserve"> were unable to consider a Human Rights Act due to their terms of reference and instead recommended a Disability Rights Act</w:t>
      </w:r>
      <w:r w:rsidR="00240950">
        <w:t>,</w:t>
      </w:r>
      <w:r>
        <w:t xml:space="preserve"> the July 2024 joint statement of 12 disability representative organisations advocating for a Human Rights Act</w:t>
      </w:r>
      <w:r w:rsidR="00240950">
        <w:rPr>
          <w:rStyle w:val="FootnoteReference"/>
        </w:rPr>
        <w:footnoteReference w:id="40"/>
      </w:r>
      <w:r>
        <w:t xml:space="preserve"> shows the support for the benefits of a Human Rights Act alongside reforms and modernisation of the </w:t>
      </w:r>
      <w:r w:rsidR="00240950">
        <w:t>DDA</w:t>
      </w:r>
      <w:r>
        <w:t xml:space="preserve">. The Parliamentary Joint Committee on Human Rights inquiry into Australia’s human rights framework reported on 30 May 2024 their recommendation for a Human Rights Act, and that recommendation should be supported as part of the implementation of the </w:t>
      </w:r>
      <w:r w:rsidR="00314313">
        <w:t>DRC</w:t>
      </w:r>
      <w:r>
        <w:t xml:space="preserve"> alongside reforming the </w:t>
      </w:r>
      <w:r w:rsidR="00314313">
        <w:t>DDA</w:t>
      </w:r>
      <w:r>
        <w:t>.</w:t>
      </w:r>
      <w:r w:rsidR="00314313">
        <w:rPr>
          <w:rStyle w:val="FootnoteReference"/>
        </w:rPr>
        <w:footnoteReference w:id="41"/>
      </w:r>
      <w:r w:rsidR="00A60BFA">
        <w:t xml:space="preserve"> </w:t>
      </w:r>
      <w:r w:rsidR="00A118F9" w:rsidRPr="00A118F9">
        <w:t>Australia remains the only democratic country in the world without a constitutionally enshrined or legislated national bill or charter of rights</w:t>
      </w:r>
      <w:r w:rsidR="00D62743">
        <w:t>.</w:t>
      </w:r>
      <w:r w:rsidR="00D62743">
        <w:rPr>
          <w:rStyle w:val="FootnoteReference"/>
        </w:rPr>
        <w:footnoteReference w:id="42"/>
      </w:r>
    </w:p>
    <w:p w14:paraId="113455C5" w14:textId="48BCB57F" w:rsidR="007066B3" w:rsidRPr="001325E3" w:rsidRDefault="007066B3" w:rsidP="00107198">
      <w:pPr>
        <w:pStyle w:val="Heading1"/>
        <w:spacing w:before="240" w:after="0" w:line="360" w:lineRule="auto"/>
        <w:rPr>
          <w:rFonts w:ascii="Nunito Sans" w:hAnsi="Nunito Sans" w:cs="Poppins SemiBold"/>
          <w:b/>
          <w:color w:val="690048"/>
          <w:sz w:val="28"/>
          <w:szCs w:val="28"/>
        </w:rPr>
      </w:pPr>
      <w:bookmarkStart w:id="13" w:name="_Toc212816953"/>
      <w:r>
        <w:rPr>
          <w:rFonts w:ascii="Nunito Sans" w:hAnsi="Nunito Sans" w:cs="Poppins SemiBold"/>
          <w:b/>
          <w:color w:val="690048"/>
          <w:sz w:val="28"/>
          <w:szCs w:val="28"/>
        </w:rPr>
        <w:t>Conclusion</w:t>
      </w:r>
      <w:bookmarkEnd w:id="13"/>
    </w:p>
    <w:p w14:paraId="2F01938A" w14:textId="086749BE" w:rsidR="002C77FC" w:rsidRPr="002C77FC" w:rsidRDefault="007066B3" w:rsidP="00F70F15">
      <w:pPr>
        <w:spacing w:line="360" w:lineRule="auto"/>
        <w:rPr>
          <w:rFonts w:ascii="Nunito Sans" w:hAnsi="Nunito Sans"/>
          <w:sz w:val="60"/>
          <w:szCs w:val="60"/>
          <w:lang w:val="en-AU"/>
        </w:rPr>
      </w:pPr>
      <w:r>
        <w:rPr>
          <w:rFonts w:ascii="Nunito Sans" w:hAnsi="Nunito Sans"/>
        </w:rPr>
        <w:t xml:space="preserve">QIDAN is thankful for the opportunity to contribute to </w:t>
      </w:r>
      <w:r w:rsidR="00DC0F91">
        <w:rPr>
          <w:rFonts w:ascii="Nunito Sans" w:hAnsi="Nunito Sans"/>
        </w:rPr>
        <w:t>this consultation. We are happy to provide</w:t>
      </w:r>
      <w:r w:rsidR="000100FC">
        <w:rPr>
          <w:rFonts w:ascii="Nunito Sans" w:hAnsi="Nunito Sans"/>
        </w:rPr>
        <w:t xml:space="preserve"> further</w:t>
      </w:r>
      <w:r w:rsidR="00DC0F91">
        <w:rPr>
          <w:rFonts w:ascii="Nunito Sans" w:hAnsi="Nunito Sans"/>
        </w:rPr>
        <w:t xml:space="preserve"> information or clarification of any of the matters raised in this submission upon request.</w:t>
      </w:r>
    </w:p>
    <w:sectPr w:rsidR="002C77FC" w:rsidRPr="002C77FC" w:rsidSect="00FC15B5">
      <w:headerReference w:type="default" r:id="rId16"/>
      <w:footerReference w:type="even" r:id="rId17"/>
      <w:footerReference w:type="default" r:id="rId18"/>
      <w:headerReference w:type="first" r:id="rId19"/>
      <w:footerReference w:type="first" r:id="rId20"/>
      <w:pgSz w:w="11901" w:h="16817"/>
      <w:pgMar w:top="1871" w:right="1077" w:bottom="709" w:left="1077" w:header="0"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3345" w14:textId="77777777" w:rsidR="0035766A" w:rsidRDefault="0035766A" w:rsidP="003A4839">
      <w:r>
        <w:separator/>
      </w:r>
    </w:p>
  </w:endnote>
  <w:endnote w:type="continuationSeparator" w:id="0">
    <w:p w14:paraId="2D4530EB" w14:textId="77777777" w:rsidR="0035766A" w:rsidRDefault="0035766A" w:rsidP="003A4839">
      <w:r>
        <w:continuationSeparator/>
      </w:r>
    </w:p>
  </w:endnote>
  <w:endnote w:type="continuationNotice" w:id="1">
    <w:p w14:paraId="09C614FB" w14:textId="77777777" w:rsidR="0035766A" w:rsidRDefault="00357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SemiBold">
    <w:charset w:val="00"/>
    <w:family w:val="auto"/>
    <w:pitch w:val="variable"/>
    <w:sig w:usb0="00008007" w:usb1="00000000" w:usb2="00000000" w:usb3="00000000" w:csb0="00000093" w:csb1="00000000"/>
  </w:font>
  <w:font w:name="Nunito">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757904"/>
      <w:docPartObj>
        <w:docPartGallery w:val="Page Numbers (Bottom of Page)"/>
        <w:docPartUnique/>
      </w:docPartObj>
    </w:sdtPr>
    <w:sdtEndPr>
      <w:rPr>
        <w:rStyle w:val="PageNumber"/>
      </w:rPr>
    </w:sdtEndPr>
    <w:sdtContent>
      <w:p w14:paraId="0EA8B7E5" w14:textId="77777777" w:rsidR="002C77FC" w:rsidRDefault="002C77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37360" w14:textId="77777777" w:rsidR="002C77FC" w:rsidRDefault="002C77FC" w:rsidP="002C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w:hAnsi="Nunito Sans"/>
        <w:color w:val="690048"/>
        <w:sz w:val="20"/>
        <w:szCs w:val="20"/>
      </w:rPr>
      <w:id w:val="2107300553"/>
      <w:docPartObj>
        <w:docPartGallery w:val="Page Numbers (Bottom of Page)"/>
        <w:docPartUnique/>
      </w:docPartObj>
    </w:sdtPr>
    <w:sdtEndPr>
      <w:rPr>
        <w:rStyle w:val="PageNumber"/>
      </w:rPr>
    </w:sdtEndPr>
    <w:sdtContent>
      <w:p w14:paraId="7EEE3337" w14:textId="77777777" w:rsidR="002C77FC" w:rsidRPr="00C2622E" w:rsidRDefault="002C77FC">
        <w:pPr>
          <w:pStyle w:val="Footer"/>
          <w:framePr w:wrap="none" w:vAnchor="text" w:hAnchor="margin" w:xAlign="right" w:y="1"/>
          <w:rPr>
            <w:rStyle w:val="PageNumber"/>
            <w:rFonts w:ascii="Nunito Sans" w:hAnsi="Nunito Sans"/>
            <w:color w:val="690048"/>
            <w:sz w:val="20"/>
            <w:szCs w:val="20"/>
          </w:rPr>
        </w:pPr>
        <w:r w:rsidRPr="00C2622E">
          <w:rPr>
            <w:rStyle w:val="PageNumber"/>
            <w:rFonts w:ascii="Nunito Sans" w:hAnsi="Nunito Sans"/>
            <w:color w:val="690048"/>
            <w:sz w:val="20"/>
            <w:szCs w:val="20"/>
          </w:rPr>
          <w:fldChar w:fldCharType="begin"/>
        </w:r>
        <w:r w:rsidRPr="00C2622E">
          <w:rPr>
            <w:rStyle w:val="PageNumber"/>
            <w:rFonts w:ascii="Nunito Sans" w:hAnsi="Nunito Sans"/>
            <w:color w:val="690048"/>
            <w:sz w:val="20"/>
            <w:szCs w:val="20"/>
          </w:rPr>
          <w:instrText xml:space="preserve"> PAGE </w:instrText>
        </w:r>
        <w:r w:rsidRPr="00C2622E">
          <w:rPr>
            <w:rStyle w:val="PageNumber"/>
            <w:rFonts w:ascii="Nunito Sans" w:hAnsi="Nunito Sans"/>
            <w:color w:val="690048"/>
            <w:sz w:val="20"/>
            <w:szCs w:val="20"/>
          </w:rPr>
          <w:fldChar w:fldCharType="separate"/>
        </w:r>
        <w:r w:rsidRPr="00C2622E">
          <w:rPr>
            <w:rStyle w:val="PageNumber"/>
            <w:rFonts w:ascii="Nunito Sans" w:hAnsi="Nunito Sans"/>
            <w:noProof/>
            <w:color w:val="690048"/>
            <w:sz w:val="20"/>
            <w:szCs w:val="20"/>
          </w:rPr>
          <w:t>2</w:t>
        </w:r>
        <w:r w:rsidRPr="00C2622E">
          <w:rPr>
            <w:rStyle w:val="PageNumber"/>
            <w:rFonts w:ascii="Nunito Sans" w:hAnsi="Nunito Sans"/>
            <w:color w:val="690048"/>
            <w:sz w:val="20"/>
            <w:szCs w:val="20"/>
          </w:rPr>
          <w:fldChar w:fldCharType="end"/>
        </w:r>
      </w:p>
    </w:sdtContent>
  </w:sdt>
  <w:p w14:paraId="132FB06E" w14:textId="2E89EBEA" w:rsidR="002C77FC" w:rsidRPr="002C77FC" w:rsidRDefault="002C77FC" w:rsidP="002C77FC">
    <w:pPr>
      <w:ind w:right="360"/>
      <w:jc w:val="right"/>
      <w:rPr>
        <w:rFonts w:ascii="Nunito Sans" w:hAnsi="Nunito Sans"/>
        <w:color w:val="690048"/>
        <w:sz w:val="20"/>
        <w:szCs w:val="20"/>
        <w:lang w:val="en-AU"/>
      </w:rPr>
    </w:pPr>
    <w:r w:rsidRPr="002C77FC">
      <w:rPr>
        <w:rFonts w:ascii="Nunito Sans" w:hAnsi="Nunito Sans"/>
        <w:color w:val="690048"/>
        <w:sz w:val="20"/>
        <w:szCs w:val="20"/>
        <w:lang w:val="en-AU"/>
      </w:rPr>
      <w:t>QIDAN</w:t>
    </w:r>
    <w:r>
      <w:rPr>
        <w:rFonts w:ascii="Nunito Sans" w:hAnsi="Nunito Sans"/>
        <w:color w:val="690048"/>
        <w:sz w:val="20"/>
        <w:szCs w:val="20"/>
        <w:lang w:val="en-AU"/>
      </w:rPr>
      <w:t xml:space="preserve"> </w:t>
    </w:r>
    <w:r w:rsidR="00476541">
      <w:rPr>
        <w:rFonts w:ascii="Nunito Sans" w:hAnsi="Nunito Sans"/>
        <w:color w:val="690048"/>
        <w:sz w:val="20"/>
        <w:szCs w:val="20"/>
        <w:lang w:val="en-AU"/>
      </w:rPr>
      <w:t xml:space="preserve">Submission to the </w:t>
    </w:r>
    <w:r w:rsidR="00C1217B">
      <w:rPr>
        <w:rFonts w:ascii="Nunito Sans" w:hAnsi="Nunito Sans"/>
        <w:color w:val="690048"/>
        <w:sz w:val="20"/>
        <w:szCs w:val="20"/>
        <w:lang w:val="en-AU"/>
      </w:rPr>
      <w:t>D</w:t>
    </w:r>
    <w:r w:rsidR="004E12C7">
      <w:rPr>
        <w:rFonts w:ascii="Nunito Sans" w:hAnsi="Nunito Sans"/>
        <w:color w:val="690048"/>
        <w:sz w:val="20"/>
        <w:szCs w:val="20"/>
        <w:lang w:val="en-AU"/>
      </w:rPr>
      <w:t>isability Discrimination Act 1992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CA44" w14:textId="77777777" w:rsidR="00E55601" w:rsidRPr="00E55601" w:rsidRDefault="00E55601">
    <w:pPr>
      <w:pStyle w:val="Footer"/>
      <w:rPr>
        <w:rFonts w:ascii="Nunito Sans" w:hAnsi="Nunito Sans"/>
        <w:b/>
        <w:bCs/>
        <w:color w:val="FFFFFF" w:themeColor="background1"/>
        <w:sz w:val="20"/>
        <w:szCs w:val="20"/>
        <w:lang w:val="en-US"/>
      </w:rPr>
    </w:pPr>
    <w:r w:rsidRPr="00E55601">
      <w:rPr>
        <w:rFonts w:ascii="Nunito Sans" w:hAnsi="Nunito Sans"/>
        <w:b/>
        <w:bCs/>
        <w:color w:val="FAC2A7"/>
        <w:sz w:val="20"/>
        <w:szCs w:val="20"/>
        <w:lang w:val="en-US"/>
      </w:rPr>
      <w:t>Working together</w:t>
    </w:r>
    <w:r w:rsidRPr="00E55601">
      <w:rPr>
        <w:rFonts w:ascii="Nunito Sans" w:hAnsi="Nunito Sans"/>
        <w:b/>
        <w:bCs/>
        <w:color w:val="F26722"/>
        <w:sz w:val="20"/>
        <w:szCs w:val="20"/>
        <w:lang w:val="en-US"/>
      </w:rPr>
      <w:t xml:space="preserve"> </w:t>
    </w:r>
    <w:r w:rsidRPr="00E55601">
      <w:rPr>
        <w:rFonts w:ascii="Nunito Sans" w:hAnsi="Nunito Sans"/>
        <w:b/>
        <w:bCs/>
        <w:color w:val="FFFFFF" w:themeColor="background1"/>
        <w:sz w:val="20"/>
        <w:szCs w:val="20"/>
        <w:lang w:val="en-US"/>
      </w:rPr>
      <w:t>to achieve positive change for people with disability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E647" w14:textId="77777777" w:rsidR="0035766A" w:rsidRDefault="0035766A" w:rsidP="003A4839">
      <w:r>
        <w:separator/>
      </w:r>
    </w:p>
  </w:footnote>
  <w:footnote w:type="continuationSeparator" w:id="0">
    <w:p w14:paraId="0CBBD61F" w14:textId="77777777" w:rsidR="0035766A" w:rsidRDefault="0035766A" w:rsidP="003A4839">
      <w:r>
        <w:continuationSeparator/>
      </w:r>
    </w:p>
  </w:footnote>
  <w:footnote w:type="continuationNotice" w:id="1">
    <w:p w14:paraId="59E263A0" w14:textId="77777777" w:rsidR="0035766A" w:rsidRDefault="0035766A"/>
  </w:footnote>
  <w:footnote w:id="2">
    <w:p w14:paraId="503A48A4" w14:textId="5A175195" w:rsidR="00705178" w:rsidRPr="006154BB" w:rsidRDefault="00705178">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Queensland Human Rights Commission, Annual Report </w:t>
      </w:r>
      <w:r w:rsidR="007D1ED1" w:rsidRPr="006154BB">
        <w:rPr>
          <w:rFonts w:ascii="Nunito Sans" w:hAnsi="Nunito Sans"/>
        </w:rPr>
        <w:t>2024-25,</w:t>
      </w:r>
      <w:r w:rsidRPr="006154BB">
        <w:rPr>
          <w:rFonts w:ascii="Nunito Sans" w:hAnsi="Nunito Sans"/>
        </w:rPr>
        <w:t xml:space="preserve"> </w:t>
      </w:r>
      <w:hyperlink r:id="rId1" w:history="1">
        <w:r w:rsidRPr="006154BB">
          <w:rPr>
            <w:rStyle w:val="Hyperlink"/>
            <w:rFonts w:ascii="Nunito Sans" w:hAnsi="Nunito Sans"/>
          </w:rPr>
          <w:t>https://www.qhrc.qld.gov.au/__data/assets/pdf_file/0006/56499/Queensland-Human-Rights-Commission-Annual-Report-2024-25.pdf</w:t>
        </w:r>
      </w:hyperlink>
      <w:r w:rsidR="00BC5C27" w:rsidRPr="006154BB">
        <w:rPr>
          <w:rFonts w:ascii="Nunito Sans" w:hAnsi="Nunito Sans"/>
        </w:rPr>
        <w:t>.</w:t>
      </w:r>
      <w:r w:rsidRPr="006154BB">
        <w:rPr>
          <w:rFonts w:ascii="Nunito Sans" w:hAnsi="Nunito Sans"/>
        </w:rPr>
        <w:t xml:space="preserve"> </w:t>
      </w:r>
    </w:p>
  </w:footnote>
  <w:footnote w:id="3">
    <w:p w14:paraId="510BE759" w14:textId="4BA1AAC7" w:rsidR="003079C1" w:rsidRPr="006154BB" w:rsidRDefault="003079C1">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00BC5C27" w:rsidRPr="006154BB">
        <w:rPr>
          <w:rFonts w:ascii="Nunito Sans" w:hAnsi="Nunito Sans"/>
        </w:rPr>
        <w:t xml:space="preserve">Queensland Human Rights Commission, </w:t>
      </w:r>
      <w:r w:rsidR="00BC5C27" w:rsidRPr="006154BB">
        <w:rPr>
          <w:rFonts w:ascii="Nunito Sans" w:hAnsi="Nunito Sans"/>
          <w:i/>
          <w:iCs/>
        </w:rPr>
        <w:t xml:space="preserve">Building Belonging: Review of Queensland's Anti-Discrimination Act 1991, </w:t>
      </w:r>
      <w:hyperlink r:id="rId2" w:history="1">
        <w:r w:rsidR="00BC5C27" w:rsidRPr="006154BB">
          <w:rPr>
            <w:rStyle w:val="Hyperlink"/>
            <w:rFonts w:ascii="Nunito Sans" w:hAnsi="Nunito Sans"/>
          </w:rPr>
          <w:t>https://www.qhrc.qld.gov.au/about-us/reviews/ada</w:t>
        </w:r>
      </w:hyperlink>
      <w:r w:rsidR="00BC5C27" w:rsidRPr="006154BB">
        <w:rPr>
          <w:rFonts w:ascii="Nunito Sans" w:hAnsi="Nunito Sans"/>
        </w:rPr>
        <w:t>.</w:t>
      </w:r>
      <w:r w:rsidRPr="006154BB">
        <w:rPr>
          <w:rFonts w:ascii="Nunito Sans" w:hAnsi="Nunito Sans"/>
        </w:rPr>
        <w:t xml:space="preserve"> </w:t>
      </w:r>
    </w:p>
  </w:footnote>
  <w:footnote w:id="4">
    <w:p w14:paraId="5B61319E" w14:textId="100AEFC6" w:rsidR="00CC5595" w:rsidRPr="006154BB" w:rsidRDefault="00CC5595">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3" w:history="1">
        <w:r w:rsidRPr="006154BB">
          <w:rPr>
            <w:rStyle w:val="Hyperlink"/>
            <w:rFonts w:ascii="Nunito Sans" w:hAnsi="Nunito Sans"/>
          </w:rPr>
          <w:t>https://statements.qld.gov.au/statements/102168</w:t>
        </w:r>
      </w:hyperlink>
      <w:r w:rsidR="000847FA" w:rsidRPr="006154BB">
        <w:rPr>
          <w:rFonts w:ascii="Nunito Sans" w:hAnsi="Nunito Sans"/>
        </w:rPr>
        <w:t xml:space="preserve">, </w:t>
      </w:r>
      <w:hyperlink r:id="rId4" w:history="1">
        <w:r w:rsidR="000847FA" w:rsidRPr="006154BB">
          <w:rPr>
            <w:rStyle w:val="Hyperlink"/>
            <w:rFonts w:ascii="Nunito Sans" w:hAnsi="Nunito Sans"/>
          </w:rPr>
          <w:t>https://qai.org.au/hate-wont-wait-dont-delay-anti-discrimination-reforms/</w:t>
        </w:r>
      </w:hyperlink>
      <w:r w:rsidR="000847FA" w:rsidRPr="006154BB">
        <w:rPr>
          <w:rFonts w:ascii="Nunito Sans" w:hAnsi="Nunito Sans"/>
        </w:rPr>
        <w:t xml:space="preserve">. </w:t>
      </w:r>
      <w:r w:rsidRPr="006154BB">
        <w:rPr>
          <w:rFonts w:ascii="Nunito Sans" w:hAnsi="Nunito Sans"/>
        </w:rPr>
        <w:t xml:space="preserve"> </w:t>
      </w:r>
    </w:p>
  </w:footnote>
  <w:footnote w:id="5">
    <w:p w14:paraId="60AF6E5F" w14:textId="0BDCBC8B" w:rsidR="00B30575" w:rsidRPr="006154BB" w:rsidRDefault="00B30575">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United Nations Convention on the Rights of Persons with Disability, Preamble, (e).</w:t>
      </w:r>
    </w:p>
  </w:footnote>
  <w:footnote w:id="6">
    <w:p w14:paraId="2B043C06" w14:textId="77777777" w:rsidR="006E0809" w:rsidRPr="006154BB" w:rsidRDefault="006E0809" w:rsidP="006E0809">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lang w:val="en-AU"/>
        </w:rPr>
        <w:t>DRC volume 4, page 60.</w:t>
      </w:r>
    </w:p>
  </w:footnote>
  <w:footnote w:id="7">
    <w:p w14:paraId="71F2896F" w14:textId="71FCE048" w:rsidR="00802FB9" w:rsidRPr="006154BB" w:rsidRDefault="00802FB9">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cs="Calibri"/>
        </w:rPr>
        <w:t xml:space="preserve">QHRC, “Building belonging”, </w:t>
      </w:r>
      <w:r w:rsidR="00AB1007" w:rsidRPr="006154BB">
        <w:rPr>
          <w:rFonts w:ascii="Nunito Sans" w:hAnsi="Nunito Sans" w:cs="Calibri"/>
        </w:rPr>
        <w:t xml:space="preserve">98-101; Australian Human Rights Commission, </w:t>
      </w:r>
      <w:r w:rsidR="00AB1007" w:rsidRPr="006154BB">
        <w:rPr>
          <w:rFonts w:ascii="Nunito Sans" w:hAnsi="Nunito Sans" w:cs="Calibri"/>
          <w:i/>
          <w:iCs/>
        </w:rPr>
        <w:t>Free and Equal: An Australian Conversation on Human Rights</w:t>
      </w:r>
      <w:r w:rsidR="00AB1007" w:rsidRPr="006154BB">
        <w:rPr>
          <w:rFonts w:ascii="Nunito Sans" w:hAnsi="Nunito Sans" w:cs="Calibri"/>
        </w:rPr>
        <w:t>, Australian Government, 2021, pp 296–297.</w:t>
      </w:r>
    </w:p>
  </w:footnote>
  <w:footnote w:id="8">
    <w:p w14:paraId="6A01A5EC" w14:textId="64DBFEF5" w:rsidR="008408CF" w:rsidRPr="006154BB" w:rsidRDefault="008408CF" w:rsidP="008408C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 118</w:t>
      </w:r>
      <w:r w:rsidR="0083436C" w:rsidRPr="006154BB">
        <w:rPr>
          <w:rFonts w:ascii="Nunito Sans" w:hAnsi="Nunito Sans" w:cs="Calibri"/>
        </w:rPr>
        <w:t>.</w:t>
      </w:r>
    </w:p>
  </w:footnote>
  <w:footnote w:id="9">
    <w:p w14:paraId="334005E4" w14:textId="77777777" w:rsidR="00931931" w:rsidRPr="006154BB" w:rsidRDefault="00931931" w:rsidP="00931931">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Colm O’Cinneide, “A New Generation of Equality Legislation? Positive Duties and Disability Rights,” in </w:t>
      </w:r>
      <w:r w:rsidRPr="006154BB">
        <w:rPr>
          <w:rFonts w:ascii="Nunito Sans" w:hAnsi="Nunito Sans" w:cs="Calibri"/>
          <w:i/>
          <w:iCs/>
        </w:rPr>
        <w:t>Disability Rights in Europe: From Theory to Practice</w:t>
      </w:r>
      <w:r w:rsidRPr="006154BB">
        <w:rPr>
          <w:rFonts w:ascii="Nunito Sans" w:hAnsi="Nunito Sans" w:cs="Calibri"/>
        </w:rPr>
        <w:t xml:space="preserve"> (Hart Publishing, 2005): 235</w:t>
      </w:r>
    </w:p>
  </w:footnote>
  <w:footnote w:id="10">
    <w:p w14:paraId="2F9A2C28" w14:textId="77777777" w:rsidR="00360B58" w:rsidRPr="006154BB" w:rsidRDefault="00360B58" w:rsidP="00360B58">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w:t>
      </w:r>
      <w:r w:rsidRPr="006154BB">
        <w:rPr>
          <w:rFonts w:ascii="Nunito Sans" w:hAnsi="Nunito Sans" w:cs="Calibri"/>
          <w:i/>
          <w:iCs/>
        </w:rPr>
        <w:t xml:space="preserve">, </w:t>
      </w:r>
      <w:r w:rsidRPr="006154BB">
        <w:rPr>
          <w:rFonts w:ascii="Nunito Sans" w:hAnsi="Nunito Sans" w:cs="Calibri"/>
        </w:rPr>
        <w:t>60</w:t>
      </w:r>
    </w:p>
  </w:footnote>
  <w:footnote w:id="11">
    <w:p w14:paraId="76C739DF" w14:textId="2B612C98" w:rsidR="00360B58" w:rsidRPr="006154BB" w:rsidRDefault="00360B58" w:rsidP="00360B58">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w:t>
      </w:r>
      <w:r w:rsidRPr="006154BB">
        <w:rPr>
          <w:rFonts w:ascii="Nunito Sans" w:hAnsi="Nunito Sans" w:cs="Calibri"/>
          <w:i/>
          <w:iCs/>
        </w:rPr>
        <w:t xml:space="preserve">, </w:t>
      </w:r>
      <w:r w:rsidRPr="006154BB">
        <w:rPr>
          <w:rFonts w:ascii="Nunito Sans" w:hAnsi="Nunito Sans" w:cs="Calibri"/>
        </w:rPr>
        <w:t>60</w:t>
      </w:r>
      <w:r w:rsidR="00D63245" w:rsidRPr="006154BB">
        <w:rPr>
          <w:rFonts w:ascii="Nunito Sans" w:hAnsi="Nunito Sans" w:cs="Calibri"/>
        </w:rPr>
        <w:t>.</w:t>
      </w:r>
    </w:p>
  </w:footnote>
  <w:footnote w:id="12">
    <w:p w14:paraId="48C45FD4" w14:textId="77777777" w:rsidR="00360B58" w:rsidRPr="006154BB" w:rsidRDefault="00360B58" w:rsidP="00360B58">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Legal Aid Queensland, “Scale of Fees – Civil Law,” February 19, 2015, </w:t>
      </w:r>
      <w:hyperlink r:id="rId5" w:history="1">
        <w:r w:rsidRPr="006154BB">
          <w:rPr>
            <w:rStyle w:val="Hyperlink"/>
            <w:rFonts w:ascii="Nunito Sans" w:hAnsi="Nunito Sans" w:cs="Calibri"/>
          </w:rPr>
          <w:t>https://www.legalaid.qld.gov.au/files/assets/public/v/6/about-us/scale-of-fees/laq_00081-scale-of-fees-civil-law.pdf</w:t>
        </w:r>
      </w:hyperlink>
      <w:r w:rsidRPr="006154BB">
        <w:rPr>
          <w:rStyle w:val="Hyperlink"/>
          <w:rFonts w:ascii="Nunito Sans" w:hAnsi="Nunito Sans" w:cs="Calibri"/>
        </w:rPr>
        <w:t>.</w:t>
      </w:r>
    </w:p>
  </w:footnote>
  <w:footnote w:id="13">
    <w:p w14:paraId="0040C32D" w14:textId="49F8993C" w:rsidR="00E44BCE" w:rsidRPr="006154BB" w:rsidRDefault="00E44BCE" w:rsidP="00E44BCE">
      <w:pPr>
        <w:pStyle w:val="FootnoteText"/>
        <w:rPr>
          <w:rFonts w:ascii="Nunito Sans" w:hAnsi="Nunito Sans"/>
        </w:rPr>
      </w:pPr>
      <w:r w:rsidRPr="006154BB">
        <w:rPr>
          <w:rStyle w:val="FootnoteReference"/>
          <w:rFonts w:ascii="Nunito Sans" w:hAnsi="Nunito Sans" w:cs="Calibri"/>
        </w:rPr>
        <w:footnoteRef/>
      </w:r>
      <w:r w:rsidRPr="006154BB">
        <w:rPr>
          <w:rFonts w:ascii="Nunito Sans" w:hAnsi="Nunito Sans" w:cs="Calibri"/>
        </w:rPr>
        <w:t xml:space="preserve"> QHRC, “Building belonging”</w:t>
      </w:r>
      <w:r w:rsidRPr="006154BB">
        <w:rPr>
          <w:rFonts w:ascii="Nunito Sans" w:hAnsi="Nunito Sans" w:cs="Calibri"/>
          <w:i/>
          <w:iCs/>
        </w:rPr>
        <w:t xml:space="preserve">, </w:t>
      </w:r>
      <w:r w:rsidRPr="006154BB">
        <w:rPr>
          <w:rFonts w:ascii="Nunito Sans" w:hAnsi="Nunito Sans" w:cs="Calibri"/>
        </w:rPr>
        <w:t>70</w:t>
      </w:r>
      <w:r w:rsidR="00D63245" w:rsidRPr="006154BB">
        <w:rPr>
          <w:rFonts w:ascii="Nunito Sans" w:hAnsi="Nunito Sans" w:cs="Calibri"/>
        </w:rPr>
        <w:t>.</w:t>
      </w:r>
    </w:p>
  </w:footnote>
  <w:footnote w:id="14">
    <w:p w14:paraId="1949F731" w14:textId="611B80B7" w:rsidR="008F31BF" w:rsidRPr="006154BB" w:rsidRDefault="008F31BF" w:rsidP="008F31BF">
      <w:pPr>
        <w:pStyle w:val="FootnoteText"/>
        <w:rPr>
          <w:rFonts w:ascii="Nunito Sans" w:hAnsi="Nunito Sans" w:cs="Calibri"/>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cs="Calibri"/>
        </w:rPr>
        <w:t>QHRC, “Building belonging”</w:t>
      </w:r>
      <w:r w:rsidRPr="006154BB">
        <w:rPr>
          <w:rFonts w:ascii="Nunito Sans" w:hAnsi="Nunito Sans" w:cs="Calibri"/>
          <w:i/>
          <w:iCs/>
        </w:rPr>
        <w:t xml:space="preserve">, </w:t>
      </w:r>
      <w:r w:rsidRPr="006154BB">
        <w:rPr>
          <w:rFonts w:ascii="Nunito Sans" w:hAnsi="Nunito Sans" w:cs="Calibri"/>
        </w:rPr>
        <w:t>14</w:t>
      </w:r>
      <w:r w:rsidR="00D63245" w:rsidRPr="006154BB">
        <w:rPr>
          <w:rFonts w:ascii="Nunito Sans" w:hAnsi="Nunito Sans" w:cs="Calibri"/>
        </w:rPr>
        <w:t>.</w:t>
      </w:r>
    </w:p>
  </w:footnote>
  <w:footnote w:id="15">
    <w:p w14:paraId="459CC753" w14:textId="77777777" w:rsidR="008F31BF" w:rsidRPr="006154BB" w:rsidRDefault="008F31BF" w:rsidP="008F31B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w:t>
      </w:r>
      <w:r w:rsidRPr="006154BB">
        <w:rPr>
          <w:rFonts w:ascii="Nunito Sans" w:hAnsi="Nunito Sans" w:cs="Calibri"/>
          <w:i/>
          <w:iCs/>
        </w:rPr>
        <w:t xml:space="preserve">, </w:t>
      </w:r>
      <w:r w:rsidRPr="006154BB">
        <w:rPr>
          <w:rFonts w:ascii="Nunito Sans" w:hAnsi="Nunito Sans" w:cs="Calibri"/>
        </w:rPr>
        <w:t>13</w:t>
      </w:r>
    </w:p>
  </w:footnote>
  <w:footnote w:id="16">
    <w:p w14:paraId="2A97A1A8" w14:textId="77777777" w:rsidR="008F31BF" w:rsidRPr="006154BB" w:rsidRDefault="008F31BF" w:rsidP="008F31B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w:t>
      </w:r>
      <w:r w:rsidRPr="006154BB">
        <w:rPr>
          <w:rFonts w:ascii="Nunito Sans" w:hAnsi="Nunito Sans" w:cs="Calibri"/>
          <w:i/>
          <w:iCs/>
        </w:rPr>
        <w:t xml:space="preserve">, </w:t>
      </w:r>
      <w:r w:rsidRPr="006154BB">
        <w:rPr>
          <w:rFonts w:ascii="Nunito Sans" w:hAnsi="Nunito Sans" w:cs="Calibri"/>
        </w:rPr>
        <w:t>230</w:t>
      </w:r>
    </w:p>
  </w:footnote>
  <w:footnote w:id="17">
    <w:p w14:paraId="16217018" w14:textId="77777777" w:rsidR="008F31BF" w:rsidRPr="006154BB" w:rsidRDefault="008F31BF" w:rsidP="008F31B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Victorian Equal Opportunity and Human Rights Commission (VEOHRC), “Positive Duty,” Victorian Equal Opportunity and Human Rights Commission, n.d., </w:t>
      </w:r>
      <w:hyperlink r:id="rId6" w:history="1">
        <w:r w:rsidRPr="006154BB">
          <w:rPr>
            <w:rStyle w:val="Hyperlink"/>
            <w:rFonts w:ascii="Nunito Sans" w:hAnsi="Nunito Sans" w:cs="Calibri"/>
          </w:rPr>
          <w:t>https://www.humanrights.vic.gov.au/for-organisations/positive-duty/</w:t>
        </w:r>
      </w:hyperlink>
      <w:r w:rsidRPr="006154BB">
        <w:rPr>
          <w:rFonts w:ascii="Nunito Sans" w:hAnsi="Nunito Sans" w:cs="Calibri"/>
        </w:rPr>
        <w:t>.</w:t>
      </w:r>
    </w:p>
  </w:footnote>
  <w:footnote w:id="18">
    <w:p w14:paraId="1BD5F5D4" w14:textId="77777777" w:rsidR="008F31BF" w:rsidRPr="006154BB" w:rsidRDefault="008F31BF" w:rsidP="008F31BF">
      <w:pPr>
        <w:pStyle w:val="FootnoteText"/>
        <w:rPr>
          <w:rFonts w:ascii="Nunito Sans" w:hAnsi="Nunito Sans"/>
        </w:rPr>
      </w:pPr>
      <w:r w:rsidRPr="006154BB">
        <w:rPr>
          <w:rStyle w:val="FootnoteReference"/>
          <w:rFonts w:ascii="Nunito Sans" w:hAnsi="Nunito Sans" w:cs="Calibri"/>
        </w:rPr>
        <w:footnoteRef/>
      </w:r>
      <w:r w:rsidRPr="006154BB">
        <w:rPr>
          <w:rFonts w:ascii="Nunito Sans" w:hAnsi="Nunito Sans" w:cs="Calibri"/>
        </w:rPr>
        <w:t xml:space="preserve"> VEOHRC, “Positive Duty”</w:t>
      </w:r>
    </w:p>
  </w:footnote>
  <w:footnote w:id="19">
    <w:p w14:paraId="31F5516D" w14:textId="77777777" w:rsidR="008F31BF" w:rsidRPr="006154BB" w:rsidRDefault="008F31BF" w:rsidP="008F31B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Colm O’Cinneide, “A New Generation of Equality Legislation?”, 226</w:t>
      </w:r>
    </w:p>
  </w:footnote>
  <w:footnote w:id="20">
    <w:p w14:paraId="40B77C00" w14:textId="77777777" w:rsidR="008F31BF" w:rsidRPr="006154BB" w:rsidRDefault="008F31BF" w:rsidP="008F31BF">
      <w:pPr>
        <w:pStyle w:val="FootnoteText"/>
        <w:rPr>
          <w:rFonts w:ascii="Nunito Sans" w:hAnsi="Nunito Sans"/>
        </w:rPr>
      </w:pPr>
      <w:r w:rsidRPr="006154BB">
        <w:rPr>
          <w:rStyle w:val="FootnoteReference"/>
          <w:rFonts w:ascii="Nunito Sans" w:hAnsi="Nunito Sans" w:cs="Calibri"/>
        </w:rPr>
        <w:footnoteRef/>
      </w:r>
      <w:r w:rsidRPr="006154BB">
        <w:rPr>
          <w:rFonts w:ascii="Nunito Sans" w:hAnsi="Nunito Sans" w:cs="Calibri"/>
        </w:rPr>
        <w:t xml:space="preserve"> </w:t>
      </w:r>
      <w:r w:rsidRPr="006154BB">
        <w:rPr>
          <w:rFonts w:ascii="Nunito Sans" w:hAnsi="Nunito Sans" w:cs="Calibri"/>
        </w:rPr>
        <w:t>O’Cinneide, “A New Generation of Equality Legislation?”, 237</w:t>
      </w:r>
    </w:p>
  </w:footnote>
  <w:footnote w:id="21">
    <w:p w14:paraId="5A1CE10B" w14:textId="77777777" w:rsidR="008F31BF" w:rsidRPr="006154BB" w:rsidRDefault="008F31BF" w:rsidP="008F31BF">
      <w:pPr>
        <w:pStyle w:val="FootnoteText"/>
        <w:rPr>
          <w:rFonts w:ascii="Nunito Sans" w:hAnsi="Nunito Sans" w:cs="Calibri"/>
        </w:rPr>
      </w:pPr>
      <w:r w:rsidRPr="006154BB">
        <w:rPr>
          <w:rStyle w:val="FootnoteReference"/>
          <w:rFonts w:ascii="Nunito Sans" w:hAnsi="Nunito Sans" w:cs="Calibri"/>
        </w:rPr>
        <w:footnoteRef/>
      </w:r>
      <w:r w:rsidRPr="006154BB">
        <w:rPr>
          <w:rFonts w:ascii="Nunito Sans" w:hAnsi="Nunito Sans" w:cs="Calibri"/>
        </w:rPr>
        <w:t xml:space="preserve"> QHRC, “Building belonging”, 237</w:t>
      </w:r>
    </w:p>
  </w:footnote>
  <w:footnote w:id="22">
    <w:p w14:paraId="11618E8F" w14:textId="77777777" w:rsidR="00546D8E" w:rsidRPr="006154BB" w:rsidRDefault="00546D8E" w:rsidP="00546D8E">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i/>
          <w:iCs/>
        </w:rPr>
        <w:t>Sex Discrimination Act 1984</w:t>
      </w:r>
      <w:r w:rsidRPr="006154BB">
        <w:rPr>
          <w:rFonts w:ascii="Nunito Sans" w:hAnsi="Nunito Sans"/>
        </w:rPr>
        <w:t xml:space="preserve"> (</w:t>
      </w:r>
      <w:r w:rsidRPr="006154BB">
        <w:rPr>
          <w:rFonts w:ascii="Nunito Sans" w:hAnsi="Nunito Sans"/>
        </w:rPr>
        <w:t>Cth), s 47</w:t>
      </w:r>
      <w:r w:rsidRPr="006154BB">
        <w:rPr>
          <w:rFonts w:ascii="Nunito Sans" w:hAnsi="Nunito Sans"/>
        </w:rPr>
        <w:t>C(6).</w:t>
      </w:r>
    </w:p>
  </w:footnote>
  <w:footnote w:id="23">
    <w:p w14:paraId="66A6B147" w14:textId="77777777" w:rsidR="00546D8E" w:rsidRPr="006154BB" w:rsidRDefault="00546D8E" w:rsidP="00546D8E">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i/>
          <w:iCs/>
        </w:rPr>
        <w:t>Discrimination Act 1991</w:t>
      </w:r>
      <w:r w:rsidRPr="006154BB">
        <w:rPr>
          <w:rFonts w:ascii="Nunito Sans" w:hAnsi="Nunito Sans"/>
        </w:rPr>
        <w:t xml:space="preserve"> (ACT), Part 9.</w:t>
      </w:r>
    </w:p>
  </w:footnote>
  <w:footnote w:id="24">
    <w:p w14:paraId="23EBECE0" w14:textId="77777777" w:rsidR="00546D8E" w:rsidRPr="006154BB" w:rsidRDefault="00546D8E" w:rsidP="00546D8E">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i/>
          <w:iCs/>
        </w:rPr>
        <w:t>Equal Opportunity Act 2010</w:t>
      </w:r>
      <w:r w:rsidRPr="006154BB">
        <w:rPr>
          <w:rFonts w:ascii="Nunito Sans" w:hAnsi="Nunito Sans"/>
        </w:rPr>
        <w:t xml:space="preserve"> (Vic), s 10.</w:t>
      </w:r>
    </w:p>
  </w:footnote>
  <w:footnote w:id="25">
    <w:p w14:paraId="7AC6DEFF" w14:textId="000DE662" w:rsidR="00CF7BF0" w:rsidRPr="006154BB" w:rsidRDefault="00CF7BF0">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lang w:val="en-AU"/>
        </w:rPr>
        <w:t xml:space="preserve">Volume 4, page </w:t>
      </w:r>
      <w:r w:rsidR="00BA3239" w:rsidRPr="006154BB">
        <w:rPr>
          <w:rFonts w:ascii="Nunito Sans" w:hAnsi="Nunito Sans"/>
          <w:lang w:val="en-AU"/>
        </w:rPr>
        <w:t>357.</w:t>
      </w:r>
    </w:p>
  </w:footnote>
  <w:footnote w:id="26">
    <w:p w14:paraId="29F1E299" w14:textId="114579BB" w:rsidR="00D4075E" w:rsidRPr="006154BB" w:rsidRDefault="00D4075E">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lang w:val="en-AU"/>
        </w:rPr>
        <w:t xml:space="preserve">UN CRPD, Article 2. </w:t>
      </w:r>
    </w:p>
  </w:footnote>
  <w:footnote w:id="27">
    <w:p w14:paraId="70C6B90F" w14:textId="54CE3852" w:rsidR="00FC7862" w:rsidRPr="006154BB" w:rsidRDefault="00FC7862">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DRC, </w:t>
      </w:r>
      <w:r w:rsidRPr="006154BB">
        <w:rPr>
          <w:rFonts w:ascii="Nunito Sans" w:hAnsi="Nunito Sans"/>
          <w:i/>
          <w:iCs/>
        </w:rPr>
        <w:t>Final Report – Volume 7B</w:t>
      </w:r>
      <w:r w:rsidRPr="006154BB">
        <w:rPr>
          <w:rFonts w:ascii="Nunito Sans" w:hAnsi="Nunito Sans"/>
        </w:rPr>
        <w:t>, from 388.</w:t>
      </w:r>
    </w:p>
  </w:footnote>
  <w:footnote w:id="28">
    <w:p w14:paraId="055A4006" w14:textId="6853E21D" w:rsidR="00126F3F" w:rsidRPr="006154BB" w:rsidRDefault="00126F3F" w:rsidP="00126F3F">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See </w:t>
      </w:r>
      <w:r w:rsidRPr="006154BB">
        <w:rPr>
          <w:rFonts w:ascii="Nunito Sans" w:hAnsi="Nunito Sans"/>
        </w:rPr>
        <w:t xml:space="preserve">eg </w:t>
      </w:r>
      <w:r w:rsidRPr="006154BB">
        <w:rPr>
          <w:rFonts w:ascii="Nunito Sans" w:hAnsi="Nunito Sans"/>
          <w:i/>
          <w:iCs/>
        </w:rPr>
        <w:t>X v Cth</w:t>
      </w:r>
      <w:r w:rsidRPr="006154BB">
        <w:rPr>
          <w:rFonts w:ascii="Nunito Sans" w:hAnsi="Nunito Sans"/>
        </w:rPr>
        <w:t xml:space="preserve"> [1999] HCA 63 at [11]; [104] </w:t>
      </w:r>
      <w:r w:rsidR="008C0748" w:rsidRPr="006154BB">
        <w:rPr>
          <w:rFonts w:ascii="Nunito Sans" w:hAnsi="Nunito Sans"/>
        </w:rPr>
        <w:t>and</w:t>
      </w:r>
      <w:r w:rsidRPr="006154BB">
        <w:rPr>
          <w:rFonts w:ascii="Nunito Sans" w:hAnsi="Nunito Sans"/>
        </w:rPr>
        <w:t xml:space="preserve"> [144]-[160].</w:t>
      </w:r>
    </w:p>
  </w:footnote>
  <w:footnote w:id="29">
    <w:p w14:paraId="7256CA71" w14:textId="77777777" w:rsidR="00126F3F" w:rsidRPr="006154BB" w:rsidRDefault="00126F3F" w:rsidP="00126F3F">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CRPD, article 27(1).</w:t>
      </w:r>
    </w:p>
  </w:footnote>
  <w:footnote w:id="30">
    <w:p w14:paraId="17EC6642" w14:textId="6AAEDDF4" w:rsidR="00AE47CB" w:rsidRPr="006154BB" w:rsidRDefault="00AE47CB">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lang w:val="en-AU"/>
        </w:rPr>
        <w:t xml:space="preserve">DRC, Volume </w:t>
      </w:r>
      <w:r w:rsidR="003D3BA9" w:rsidRPr="006154BB">
        <w:rPr>
          <w:rFonts w:ascii="Nunito Sans" w:hAnsi="Nunito Sans"/>
          <w:lang w:val="en-AU"/>
        </w:rPr>
        <w:t>7</w:t>
      </w:r>
      <w:r w:rsidR="00ED2D76" w:rsidRPr="006154BB">
        <w:rPr>
          <w:rFonts w:ascii="Nunito Sans" w:hAnsi="Nunito Sans"/>
          <w:lang w:val="en-AU"/>
        </w:rPr>
        <w:t>A, 194.</w:t>
      </w:r>
    </w:p>
  </w:footnote>
  <w:footnote w:id="31">
    <w:p w14:paraId="68189FB3" w14:textId="41D9DD30" w:rsidR="00650B49" w:rsidRPr="006154BB" w:rsidRDefault="00650B49">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7" w:history="1">
        <w:r w:rsidRPr="006154BB">
          <w:rPr>
            <w:rStyle w:val="Hyperlink"/>
            <w:rFonts w:ascii="Nunito Sans" w:hAnsi="Nunito Sans"/>
          </w:rPr>
          <w:t>https://www.qfcc.qld.gov.au/sites/default/files/2025-09/Report-Include-me-dont-exclude-me.pdf</w:t>
        </w:r>
      </w:hyperlink>
      <w:r w:rsidRPr="006154BB">
        <w:rPr>
          <w:rFonts w:ascii="Nunito Sans" w:hAnsi="Nunito Sans"/>
        </w:rPr>
        <w:t xml:space="preserve"> </w:t>
      </w:r>
    </w:p>
  </w:footnote>
  <w:footnote w:id="32">
    <w:p w14:paraId="1530E766" w14:textId="10786CE0" w:rsidR="004E0D2B" w:rsidRPr="006154BB" w:rsidRDefault="004E0D2B">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i/>
          <w:iCs/>
        </w:rPr>
        <w:t>Police Service Administration Act 1990</w:t>
      </w:r>
      <w:r w:rsidRPr="006154BB">
        <w:rPr>
          <w:rFonts w:ascii="Nunito Sans" w:hAnsi="Nunito Sans"/>
        </w:rPr>
        <w:t>, 2.3.</w:t>
      </w:r>
    </w:p>
  </w:footnote>
  <w:footnote w:id="33">
    <w:p w14:paraId="52C308F5" w14:textId="418AC34E" w:rsidR="00DA4AE3" w:rsidRPr="006154BB" w:rsidRDefault="00DA4AE3">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Pr="006154BB">
        <w:rPr>
          <w:rFonts w:ascii="Nunito Sans" w:hAnsi="Nunito Sans"/>
          <w:lang w:val="en-AU"/>
        </w:rPr>
        <w:t xml:space="preserve">AHRC, </w:t>
      </w:r>
      <w:r w:rsidRPr="006154BB">
        <w:rPr>
          <w:rFonts w:ascii="Nunito Sans" w:hAnsi="Nunito Sans"/>
          <w:i/>
          <w:iCs/>
          <w:lang w:val="en-AU"/>
        </w:rPr>
        <w:t>Free and Equal: A Reform Agenda for Federal Discrimination Laws</w:t>
      </w:r>
      <w:r w:rsidRPr="006154BB">
        <w:rPr>
          <w:rFonts w:ascii="Nunito Sans" w:hAnsi="Nunito Sans"/>
          <w:lang w:val="en-AU"/>
        </w:rPr>
        <w:t xml:space="preserve"> (Position Paper, December 2021) 127-128.</w:t>
      </w:r>
    </w:p>
  </w:footnote>
  <w:footnote w:id="34">
    <w:p w14:paraId="577D91CF" w14:textId="6B6F1FC0" w:rsidR="009553B3" w:rsidRPr="006154BB" w:rsidRDefault="009553B3">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8" w:history="1">
        <w:r w:rsidRPr="006154BB">
          <w:rPr>
            <w:rStyle w:val="Hyperlink"/>
            <w:rFonts w:ascii="Nunito Sans" w:hAnsi="Nunito Sans"/>
          </w:rPr>
          <w:t>https://www.welcomingdisability.com/materials-for-learning</w:t>
        </w:r>
      </w:hyperlink>
      <w:r w:rsidRPr="006154BB">
        <w:rPr>
          <w:rFonts w:ascii="Nunito Sans" w:hAnsi="Nunito Sans"/>
        </w:rPr>
        <w:t xml:space="preserve"> </w:t>
      </w:r>
    </w:p>
  </w:footnote>
  <w:footnote w:id="35">
    <w:p w14:paraId="106B4537" w14:textId="72C45321" w:rsidR="00207B0B" w:rsidRPr="006154BB" w:rsidRDefault="00207B0B">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9" w:history="1">
        <w:r w:rsidRPr="006154BB">
          <w:rPr>
            <w:rStyle w:val="Hyperlink"/>
            <w:rFonts w:ascii="Nunito Sans" w:hAnsi="Nunito Sans"/>
          </w:rPr>
          <w:t>https://qai.org.au/wp-content/uploads/2025/07/Assistance-Animal-National-Principles-May-2025.pdf</w:t>
        </w:r>
      </w:hyperlink>
      <w:r w:rsidRPr="006154BB">
        <w:rPr>
          <w:rFonts w:ascii="Nunito Sans" w:hAnsi="Nunito Sans"/>
        </w:rPr>
        <w:t xml:space="preserve"> </w:t>
      </w:r>
    </w:p>
  </w:footnote>
  <w:footnote w:id="36">
    <w:p w14:paraId="1F301D60" w14:textId="2905D279" w:rsidR="0007338C" w:rsidRPr="006154BB" w:rsidRDefault="0007338C">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Please see </w:t>
      </w:r>
      <w:hyperlink r:id="rId10" w:history="1">
        <w:r w:rsidRPr="006154BB">
          <w:rPr>
            <w:rStyle w:val="Hyperlink"/>
            <w:rFonts w:ascii="Nunito Sans" w:hAnsi="Nunito Sans"/>
            <w:lang w:val="en-AU"/>
          </w:rPr>
          <w:t>QAI's 2020 review of the Disability Standards for Education</w:t>
        </w:r>
      </w:hyperlink>
      <w:r w:rsidRPr="006154BB">
        <w:rPr>
          <w:rFonts w:ascii="Nunito Sans" w:hAnsi="Nunito Sans"/>
        </w:rPr>
        <w:t>. We also note the</w:t>
      </w:r>
      <w:r w:rsidR="00362B20" w:rsidRPr="006154BB">
        <w:rPr>
          <w:rFonts w:ascii="Nunito Sans" w:hAnsi="Nunito Sans"/>
        </w:rPr>
        <w:t xml:space="preserve"> Australian Government is </w:t>
      </w:r>
      <w:hyperlink r:id="rId11" w:history="1">
        <w:r w:rsidR="00362B20" w:rsidRPr="006154BB">
          <w:rPr>
            <w:rStyle w:val="Hyperlink"/>
            <w:rFonts w:ascii="Nunito Sans" w:hAnsi="Nunito Sans"/>
          </w:rPr>
          <w:t>currently reviewing</w:t>
        </w:r>
      </w:hyperlink>
      <w:r w:rsidR="00362B20" w:rsidRPr="006154BB">
        <w:rPr>
          <w:rFonts w:ascii="Nunito Sans" w:hAnsi="Nunito Sans"/>
        </w:rPr>
        <w:t xml:space="preserve"> the Standards</w:t>
      </w:r>
      <w:r w:rsidR="00F70F15" w:rsidRPr="006154BB">
        <w:rPr>
          <w:rFonts w:ascii="Nunito Sans" w:hAnsi="Nunito Sans"/>
        </w:rPr>
        <w:t>.</w:t>
      </w:r>
    </w:p>
  </w:footnote>
  <w:footnote w:id="37">
    <w:p w14:paraId="53C16FCB" w14:textId="13FDF2FB" w:rsidR="007F37EB" w:rsidRPr="006154BB" w:rsidRDefault="007F37EB">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12" w:history="1">
        <w:r w:rsidRPr="006154BB">
          <w:rPr>
            <w:rStyle w:val="Hyperlink"/>
            <w:rFonts w:ascii="Nunito Sans" w:hAnsi="Nunito Sans"/>
          </w:rPr>
          <w:t>https://qai.org.au/wp-content/uploads/2021/12/Disability-Standards-for-Accessible-Public-Transport-Jan-2019.pdf</w:t>
        </w:r>
      </w:hyperlink>
      <w:r w:rsidRPr="006154BB">
        <w:rPr>
          <w:rFonts w:ascii="Nunito Sans" w:hAnsi="Nunito Sans"/>
        </w:rPr>
        <w:t xml:space="preserve"> </w:t>
      </w:r>
    </w:p>
  </w:footnote>
  <w:footnote w:id="38">
    <w:p w14:paraId="694A4D5D" w14:textId="252D2E0A" w:rsidR="00507B16" w:rsidRPr="006154BB" w:rsidRDefault="00507B16">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13" w:history="1">
        <w:r w:rsidRPr="006154BB">
          <w:rPr>
            <w:rStyle w:val="Hyperlink"/>
            <w:rFonts w:ascii="Nunito Sans" w:hAnsi="Nunito Sans"/>
          </w:rPr>
          <w:t>https://www.qhrc.qld.gov.au/about-us/reviews/ada</w:t>
        </w:r>
      </w:hyperlink>
      <w:r w:rsidRPr="006154BB">
        <w:rPr>
          <w:rFonts w:ascii="Nunito Sans" w:hAnsi="Nunito Sans"/>
        </w:rPr>
        <w:t xml:space="preserve"> </w:t>
      </w:r>
    </w:p>
  </w:footnote>
  <w:footnote w:id="39">
    <w:p w14:paraId="14598BB3" w14:textId="770DDB8D" w:rsidR="00506B32" w:rsidRPr="006154BB" w:rsidRDefault="00506B32">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DRC, Volume 4, Recommendations 4.01 - 4.34.</w:t>
      </w:r>
    </w:p>
  </w:footnote>
  <w:footnote w:id="40">
    <w:p w14:paraId="4575E6C1" w14:textId="51EA5E69" w:rsidR="00240950" w:rsidRPr="006154BB" w:rsidRDefault="00240950">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hyperlink r:id="rId14" w:history="1">
        <w:r w:rsidR="00133FC1" w:rsidRPr="006154BB">
          <w:rPr>
            <w:rStyle w:val="Hyperlink"/>
            <w:rFonts w:ascii="Nunito Sans" w:hAnsi="Nunito Sans"/>
          </w:rPr>
          <w:t>https://wwda.org.au/our-resources/publication/strengthening-protection-of-the-rights-of-people-with-disability-through-a-national-human-rights-act-hra/</w:t>
        </w:r>
      </w:hyperlink>
      <w:r w:rsidR="00B86877" w:rsidRPr="006154BB">
        <w:rPr>
          <w:rFonts w:ascii="Nunito Sans" w:hAnsi="Nunito Sans"/>
        </w:rPr>
        <w:t>.</w:t>
      </w:r>
      <w:r w:rsidR="00133FC1" w:rsidRPr="006154BB">
        <w:rPr>
          <w:rFonts w:ascii="Nunito Sans" w:hAnsi="Nunito Sans"/>
        </w:rPr>
        <w:t xml:space="preserve"> </w:t>
      </w:r>
    </w:p>
  </w:footnote>
  <w:footnote w:id="41">
    <w:p w14:paraId="3EC20699" w14:textId="57F6092E" w:rsidR="00314313" w:rsidRPr="006154BB" w:rsidRDefault="00314313">
      <w:pPr>
        <w:pStyle w:val="FootnoteText"/>
        <w:rPr>
          <w:rFonts w:ascii="Nunito Sans" w:hAnsi="Nunito Sans"/>
        </w:rPr>
      </w:pPr>
      <w:r w:rsidRPr="006154BB">
        <w:rPr>
          <w:rStyle w:val="FootnoteReference"/>
          <w:rFonts w:ascii="Nunito Sans" w:hAnsi="Nunito Sans"/>
        </w:rPr>
        <w:footnoteRef/>
      </w:r>
      <w:r w:rsidRPr="006154BB">
        <w:rPr>
          <w:rFonts w:ascii="Nunito Sans" w:hAnsi="Nunito Sans"/>
        </w:rPr>
        <w:t xml:space="preserve"> Inquiry into Australia’s human rights framework, Parliamentary Joint Committee on Human Rights, Commonwealth of Australia, May 2024, Recommendations 1 to 4.</w:t>
      </w:r>
    </w:p>
  </w:footnote>
  <w:footnote w:id="42">
    <w:p w14:paraId="0FEA035A" w14:textId="5F5B7027" w:rsidR="00D62743" w:rsidRPr="006154BB" w:rsidRDefault="00D62743">
      <w:pPr>
        <w:pStyle w:val="FootnoteText"/>
        <w:rPr>
          <w:rFonts w:ascii="Nunito Sans" w:hAnsi="Nunito Sans"/>
          <w:lang w:val="en-AU"/>
        </w:rPr>
      </w:pPr>
      <w:r w:rsidRPr="006154BB">
        <w:rPr>
          <w:rStyle w:val="FootnoteReference"/>
          <w:rFonts w:ascii="Nunito Sans" w:hAnsi="Nunito Sans"/>
        </w:rPr>
        <w:footnoteRef/>
      </w:r>
      <w:r w:rsidRPr="006154BB">
        <w:rPr>
          <w:rFonts w:ascii="Nunito Sans" w:hAnsi="Nunito Sans"/>
        </w:rPr>
        <w:t xml:space="preserve"> </w:t>
      </w:r>
      <w:r w:rsidR="008E24E3" w:rsidRPr="006154BB">
        <w:rPr>
          <w:rFonts w:ascii="Nunito Sans" w:hAnsi="Nunito Sans"/>
        </w:rPr>
        <w:t xml:space="preserve">Legislating Human Rights Act From Whitlam to Now, by Cassandra Le Good &amp; Professor Azadeh Dastyari: </w:t>
      </w:r>
      <w:hyperlink r:id="rId15" w:history="1">
        <w:r w:rsidR="00B86877" w:rsidRPr="006154BB">
          <w:rPr>
            <w:rStyle w:val="Hyperlink"/>
            <w:rFonts w:ascii="Nunito Sans" w:hAnsi="Nunito Sans"/>
          </w:rPr>
          <w:t>https://static1.squarespace.com/static/660249bd40e1686fe5cab7d1/t/68e85848401e4b7ec625a767/1760057416262/Human+Rights+Acts+from+Whitlam+to+Now+%5BOnline+Copy%5D.pdf</w:t>
        </w:r>
      </w:hyperlink>
      <w:r w:rsidR="00B86877" w:rsidRPr="006154BB">
        <w:rPr>
          <w:rFonts w:ascii="Nunito Sans" w:hAnsi="Nunito San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0BBC" w14:textId="77777777" w:rsidR="003A4839" w:rsidRDefault="003A4839">
    <w:pPr>
      <w:pStyle w:val="Header"/>
    </w:pPr>
    <w:r>
      <w:rPr>
        <w:noProof/>
      </w:rPr>
      <w:drawing>
        <wp:anchor distT="0" distB="0" distL="114300" distR="114300" simplePos="0" relativeHeight="251658240" behindDoc="1" locked="0" layoutInCell="1" allowOverlap="0" wp14:anchorId="076856E1" wp14:editId="48D99B21">
          <wp:simplePos x="0" y="0"/>
          <wp:positionH relativeFrom="page">
            <wp:align>left</wp:align>
          </wp:positionH>
          <wp:positionV relativeFrom="page">
            <wp:align>top</wp:align>
          </wp:positionV>
          <wp:extent cx="7559400" cy="10684800"/>
          <wp:effectExtent l="0" t="0" r="0" b="0"/>
          <wp:wrapNone/>
          <wp:docPr id="188859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41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3DCD" w14:textId="77777777" w:rsidR="003A4839" w:rsidRDefault="003A4839">
    <w:pPr>
      <w:pStyle w:val="Header"/>
    </w:pPr>
    <w:r>
      <w:rPr>
        <w:noProof/>
      </w:rPr>
      <w:drawing>
        <wp:anchor distT="0" distB="0" distL="114300" distR="114300" simplePos="0" relativeHeight="251658241" behindDoc="1" locked="0" layoutInCell="1" allowOverlap="0" wp14:anchorId="5F210CF7" wp14:editId="11FB409E">
          <wp:simplePos x="0" y="0"/>
          <wp:positionH relativeFrom="page">
            <wp:align>left</wp:align>
          </wp:positionH>
          <wp:positionV relativeFrom="page">
            <wp:align>top</wp:align>
          </wp:positionV>
          <wp:extent cx="7559400" cy="10684800"/>
          <wp:effectExtent l="0" t="0" r="0" b="0"/>
          <wp:wrapNone/>
          <wp:docPr id="2047139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781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BDC"/>
    <w:multiLevelType w:val="hybridMultilevel"/>
    <w:tmpl w:val="E9388690"/>
    <w:lvl w:ilvl="0" w:tplc="A74A4A52">
      <w:start w:val="1"/>
      <w:numFmt w:val="bullet"/>
      <w:lvlText w:val=""/>
      <w:lvlJc w:val="left"/>
      <w:pPr>
        <w:ind w:left="360" w:hanging="360"/>
      </w:pPr>
      <w:rPr>
        <w:rFonts w:ascii="Symbol" w:hAnsi="Symbol" w:hint="default"/>
        <w:b w:val="0"/>
        <w:bCs w:val="0"/>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DC32632"/>
    <w:multiLevelType w:val="hybridMultilevel"/>
    <w:tmpl w:val="8B048A98"/>
    <w:lvl w:ilvl="0" w:tplc="6EDC6976">
      <w:start w:val="23"/>
      <w:numFmt w:val="decimal"/>
      <w:lvlText w:val="%1."/>
      <w:lvlJc w:val="left"/>
      <w:pPr>
        <w:ind w:left="720" w:hanging="360"/>
      </w:pPr>
    </w:lvl>
    <w:lvl w:ilvl="1" w:tplc="531491D2">
      <w:start w:val="1"/>
      <w:numFmt w:val="lowerLetter"/>
      <w:lvlText w:val="%2."/>
      <w:lvlJc w:val="left"/>
      <w:pPr>
        <w:ind w:left="1440" w:hanging="360"/>
      </w:pPr>
    </w:lvl>
    <w:lvl w:ilvl="2" w:tplc="ABA668FE">
      <w:start w:val="1"/>
      <w:numFmt w:val="lowerRoman"/>
      <w:lvlText w:val="%3."/>
      <w:lvlJc w:val="right"/>
      <w:pPr>
        <w:ind w:left="2160" w:hanging="180"/>
      </w:pPr>
    </w:lvl>
    <w:lvl w:ilvl="3" w:tplc="38C2DCF8">
      <w:start w:val="1"/>
      <w:numFmt w:val="decimal"/>
      <w:lvlText w:val="%4."/>
      <w:lvlJc w:val="left"/>
      <w:pPr>
        <w:ind w:left="2880" w:hanging="360"/>
      </w:pPr>
    </w:lvl>
    <w:lvl w:ilvl="4" w:tplc="D0E208A2">
      <w:start w:val="1"/>
      <w:numFmt w:val="lowerLetter"/>
      <w:lvlText w:val="%5."/>
      <w:lvlJc w:val="left"/>
      <w:pPr>
        <w:ind w:left="3600" w:hanging="360"/>
      </w:pPr>
    </w:lvl>
    <w:lvl w:ilvl="5" w:tplc="A24818A8">
      <w:start w:val="1"/>
      <w:numFmt w:val="lowerRoman"/>
      <w:lvlText w:val="%6."/>
      <w:lvlJc w:val="right"/>
      <w:pPr>
        <w:ind w:left="4320" w:hanging="180"/>
      </w:pPr>
    </w:lvl>
    <w:lvl w:ilvl="6" w:tplc="6972D646">
      <w:start w:val="1"/>
      <w:numFmt w:val="decimal"/>
      <w:lvlText w:val="%7."/>
      <w:lvlJc w:val="left"/>
      <w:pPr>
        <w:ind w:left="5040" w:hanging="360"/>
      </w:pPr>
    </w:lvl>
    <w:lvl w:ilvl="7" w:tplc="EA1848A0">
      <w:start w:val="1"/>
      <w:numFmt w:val="lowerLetter"/>
      <w:lvlText w:val="%8."/>
      <w:lvlJc w:val="left"/>
      <w:pPr>
        <w:ind w:left="5760" w:hanging="360"/>
      </w:pPr>
    </w:lvl>
    <w:lvl w:ilvl="8" w:tplc="90766B6E">
      <w:start w:val="1"/>
      <w:numFmt w:val="lowerRoman"/>
      <w:lvlText w:val="%9."/>
      <w:lvlJc w:val="right"/>
      <w:pPr>
        <w:ind w:left="6480" w:hanging="180"/>
      </w:pPr>
    </w:lvl>
  </w:abstractNum>
  <w:abstractNum w:abstractNumId="2" w15:restartNumberingAfterBreak="0">
    <w:nsid w:val="0EC9685A"/>
    <w:multiLevelType w:val="hybridMultilevel"/>
    <w:tmpl w:val="09F4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E6DE2"/>
    <w:multiLevelType w:val="hybridMultilevel"/>
    <w:tmpl w:val="A1A6D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03225"/>
    <w:multiLevelType w:val="hybridMultilevel"/>
    <w:tmpl w:val="9E0E2F30"/>
    <w:lvl w:ilvl="0" w:tplc="AB32074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D1748"/>
    <w:multiLevelType w:val="hybridMultilevel"/>
    <w:tmpl w:val="ECA06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D35988"/>
    <w:multiLevelType w:val="hybridMultilevel"/>
    <w:tmpl w:val="0AD845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FE49C2"/>
    <w:multiLevelType w:val="multilevel"/>
    <w:tmpl w:val="928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3D7EAA"/>
    <w:multiLevelType w:val="hybridMultilevel"/>
    <w:tmpl w:val="6A2EFF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9B7508B"/>
    <w:multiLevelType w:val="multilevel"/>
    <w:tmpl w:val="58DA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71638"/>
    <w:multiLevelType w:val="multilevel"/>
    <w:tmpl w:val="6BB6C4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Nunito Sans" w:eastAsiaTheme="minorEastAsia" w:hAnsi="Nunito San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652256"/>
    <w:multiLevelType w:val="hybridMultilevel"/>
    <w:tmpl w:val="C53C28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CA10C66"/>
    <w:multiLevelType w:val="hybridMultilevel"/>
    <w:tmpl w:val="D316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DA3BD4"/>
    <w:multiLevelType w:val="hybridMultilevel"/>
    <w:tmpl w:val="0CFEE572"/>
    <w:lvl w:ilvl="0" w:tplc="9DEE57EA">
      <w:start w:val="1"/>
      <w:numFmt w:val="bullet"/>
      <w:lvlText w:val=""/>
      <w:lvlJc w:val="left"/>
      <w:pPr>
        <w:ind w:left="720" w:hanging="360"/>
      </w:pPr>
      <w:rPr>
        <w:rFonts w:ascii="Symbol" w:hAnsi="Symbol" w:hint="default"/>
        <w:color w:val="6900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3B32B2"/>
    <w:multiLevelType w:val="multilevel"/>
    <w:tmpl w:val="41B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FD07F3"/>
    <w:multiLevelType w:val="hybridMultilevel"/>
    <w:tmpl w:val="36303E8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B5A5B18"/>
    <w:multiLevelType w:val="multilevel"/>
    <w:tmpl w:val="D2E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8732F"/>
    <w:multiLevelType w:val="hybridMultilevel"/>
    <w:tmpl w:val="2D7C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6D202E"/>
    <w:multiLevelType w:val="multilevel"/>
    <w:tmpl w:val="650E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2D7821"/>
    <w:multiLevelType w:val="hybridMultilevel"/>
    <w:tmpl w:val="3F88A9CE"/>
    <w:lvl w:ilvl="0" w:tplc="9DEE57EA">
      <w:start w:val="1"/>
      <w:numFmt w:val="bullet"/>
      <w:lvlText w:val=""/>
      <w:lvlJc w:val="left"/>
      <w:pPr>
        <w:ind w:left="720" w:hanging="360"/>
      </w:pPr>
      <w:rPr>
        <w:rFonts w:ascii="Symbol" w:hAnsi="Symbol" w:hint="default"/>
        <w:color w:val="6900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A65B91"/>
    <w:multiLevelType w:val="multilevel"/>
    <w:tmpl w:val="354893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5E33B4"/>
    <w:multiLevelType w:val="hybridMultilevel"/>
    <w:tmpl w:val="82B2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6F0710"/>
    <w:multiLevelType w:val="hybridMultilevel"/>
    <w:tmpl w:val="419687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98E149E"/>
    <w:multiLevelType w:val="hybridMultilevel"/>
    <w:tmpl w:val="455AE83A"/>
    <w:lvl w:ilvl="0" w:tplc="9DEE57EA">
      <w:start w:val="1"/>
      <w:numFmt w:val="bullet"/>
      <w:lvlText w:val=""/>
      <w:lvlJc w:val="left"/>
      <w:pPr>
        <w:ind w:left="720" w:hanging="360"/>
      </w:pPr>
      <w:rPr>
        <w:rFonts w:ascii="Symbol" w:hAnsi="Symbol" w:hint="default"/>
        <w:color w:val="6900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1851423">
    <w:abstractNumId w:val="5"/>
  </w:num>
  <w:num w:numId="2" w16cid:durableId="2040080721">
    <w:abstractNumId w:val="4"/>
  </w:num>
  <w:num w:numId="3" w16cid:durableId="1648316644">
    <w:abstractNumId w:val="2"/>
  </w:num>
  <w:num w:numId="4" w16cid:durableId="410004788">
    <w:abstractNumId w:val="9"/>
  </w:num>
  <w:num w:numId="5" w16cid:durableId="1026370361">
    <w:abstractNumId w:val="14"/>
  </w:num>
  <w:num w:numId="6" w16cid:durableId="985620294">
    <w:abstractNumId w:val="18"/>
  </w:num>
  <w:num w:numId="7" w16cid:durableId="403799099">
    <w:abstractNumId w:val="16"/>
  </w:num>
  <w:num w:numId="8" w16cid:durableId="228463621">
    <w:abstractNumId w:val="10"/>
  </w:num>
  <w:num w:numId="9" w16cid:durableId="538783892">
    <w:abstractNumId w:val="7"/>
  </w:num>
  <w:num w:numId="10" w16cid:durableId="1307585693">
    <w:abstractNumId w:val="8"/>
  </w:num>
  <w:num w:numId="11" w16cid:durableId="1079405557">
    <w:abstractNumId w:val="17"/>
  </w:num>
  <w:num w:numId="12" w16cid:durableId="1052460704">
    <w:abstractNumId w:val="6"/>
  </w:num>
  <w:num w:numId="13" w16cid:durableId="1008824887">
    <w:abstractNumId w:val="22"/>
  </w:num>
  <w:num w:numId="14" w16cid:durableId="15213135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381642">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295896">
    <w:abstractNumId w:val="15"/>
  </w:num>
  <w:num w:numId="17" w16cid:durableId="2096584700">
    <w:abstractNumId w:val="3"/>
  </w:num>
  <w:num w:numId="18" w16cid:durableId="1668827509">
    <w:abstractNumId w:val="11"/>
  </w:num>
  <w:num w:numId="19" w16cid:durableId="1906605734">
    <w:abstractNumId w:val="21"/>
  </w:num>
  <w:num w:numId="20" w16cid:durableId="66153364">
    <w:abstractNumId w:val="12"/>
  </w:num>
  <w:num w:numId="21" w16cid:durableId="536746501">
    <w:abstractNumId w:val="19"/>
  </w:num>
  <w:num w:numId="22" w16cid:durableId="709502397">
    <w:abstractNumId w:val="23"/>
  </w:num>
  <w:num w:numId="23" w16cid:durableId="1460415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722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51"/>
    <w:rsid w:val="000006A0"/>
    <w:rsid w:val="00001378"/>
    <w:rsid w:val="00001ED4"/>
    <w:rsid w:val="00003826"/>
    <w:rsid w:val="00003C28"/>
    <w:rsid w:val="00004D34"/>
    <w:rsid w:val="00005F11"/>
    <w:rsid w:val="0000651E"/>
    <w:rsid w:val="00006A41"/>
    <w:rsid w:val="000100FC"/>
    <w:rsid w:val="00011496"/>
    <w:rsid w:val="00011F08"/>
    <w:rsid w:val="00014029"/>
    <w:rsid w:val="000140B0"/>
    <w:rsid w:val="000148EA"/>
    <w:rsid w:val="0001638E"/>
    <w:rsid w:val="00016C39"/>
    <w:rsid w:val="00023170"/>
    <w:rsid w:val="000241D1"/>
    <w:rsid w:val="000255CD"/>
    <w:rsid w:val="000259F6"/>
    <w:rsid w:val="00025E9B"/>
    <w:rsid w:val="00025F4A"/>
    <w:rsid w:val="0002689E"/>
    <w:rsid w:val="00026BEF"/>
    <w:rsid w:val="00026ED5"/>
    <w:rsid w:val="00026F83"/>
    <w:rsid w:val="00030881"/>
    <w:rsid w:val="00031955"/>
    <w:rsid w:val="00032736"/>
    <w:rsid w:val="00033ADD"/>
    <w:rsid w:val="00034326"/>
    <w:rsid w:val="0003499B"/>
    <w:rsid w:val="00036432"/>
    <w:rsid w:val="00036A83"/>
    <w:rsid w:val="00037B92"/>
    <w:rsid w:val="00037E7B"/>
    <w:rsid w:val="00037EE6"/>
    <w:rsid w:val="0004178B"/>
    <w:rsid w:val="00041CBC"/>
    <w:rsid w:val="00043481"/>
    <w:rsid w:val="00043A11"/>
    <w:rsid w:val="00044538"/>
    <w:rsid w:val="00044E09"/>
    <w:rsid w:val="00045A81"/>
    <w:rsid w:val="00046630"/>
    <w:rsid w:val="00046AB4"/>
    <w:rsid w:val="000476BF"/>
    <w:rsid w:val="00047935"/>
    <w:rsid w:val="00050219"/>
    <w:rsid w:val="000504CC"/>
    <w:rsid w:val="00050A88"/>
    <w:rsid w:val="00051C78"/>
    <w:rsid w:val="00051DC4"/>
    <w:rsid w:val="00055A43"/>
    <w:rsid w:val="00057C99"/>
    <w:rsid w:val="000604A8"/>
    <w:rsid w:val="000607BB"/>
    <w:rsid w:val="000608B4"/>
    <w:rsid w:val="00062C93"/>
    <w:rsid w:val="00062EDC"/>
    <w:rsid w:val="00062F46"/>
    <w:rsid w:val="00063991"/>
    <w:rsid w:val="00065374"/>
    <w:rsid w:val="000661CC"/>
    <w:rsid w:val="0006699D"/>
    <w:rsid w:val="00067704"/>
    <w:rsid w:val="00070FFF"/>
    <w:rsid w:val="00071409"/>
    <w:rsid w:val="0007159D"/>
    <w:rsid w:val="0007338C"/>
    <w:rsid w:val="00073576"/>
    <w:rsid w:val="000751DC"/>
    <w:rsid w:val="00077351"/>
    <w:rsid w:val="00081C8E"/>
    <w:rsid w:val="00081F78"/>
    <w:rsid w:val="000834A7"/>
    <w:rsid w:val="000847FA"/>
    <w:rsid w:val="0008593F"/>
    <w:rsid w:val="000865F5"/>
    <w:rsid w:val="0009057E"/>
    <w:rsid w:val="00090913"/>
    <w:rsid w:val="00091B51"/>
    <w:rsid w:val="0009364B"/>
    <w:rsid w:val="00095B8F"/>
    <w:rsid w:val="00096B43"/>
    <w:rsid w:val="00097F77"/>
    <w:rsid w:val="000A0067"/>
    <w:rsid w:val="000A3756"/>
    <w:rsid w:val="000A4AB4"/>
    <w:rsid w:val="000A58E9"/>
    <w:rsid w:val="000A60A4"/>
    <w:rsid w:val="000A6250"/>
    <w:rsid w:val="000A7774"/>
    <w:rsid w:val="000A7B5B"/>
    <w:rsid w:val="000B0C5F"/>
    <w:rsid w:val="000B0C9E"/>
    <w:rsid w:val="000B26E3"/>
    <w:rsid w:val="000B6D11"/>
    <w:rsid w:val="000B7CD4"/>
    <w:rsid w:val="000B7E1F"/>
    <w:rsid w:val="000C0188"/>
    <w:rsid w:val="000C0F5E"/>
    <w:rsid w:val="000C2720"/>
    <w:rsid w:val="000C2876"/>
    <w:rsid w:val="000C2B8A"/>
    <w:rsid w:val="000C35E8"/>
    <w:rsid w:val="000C3D2E"/>
    <w:rsid w:val="000C4CE2"/>
    <w:rsid w:val="000C65AC"/>
    <w:rsid w:val="000C6B7E"/>
    <w:rsid w:val="000D0BCB"/>
    <w:rsid w:val="000D0D8F"/>
    <w:rsid w:val="000D0F8A"/>
    <w:rsid w:val="000D11D2"/>
    <w:rsid w:val="000D26CB"/>
    <w:rsid w:val="000D2836"/>
    <w:rsid w:val="000D433B"/>
    <w:rsid w:val="000D4DB2"/>
    <w:rsid w:val="000D56EA"/>
    <w:rsid w:val="000D5976"/>
    <w:rsid w:val="000D6F87"/>
    <w:rsid w:val="000D7258"/>
    <w:rsid w:val="000E216C"/>
    <w:rsid w:val="000E2CC6"/>
    <w:rsid w:val="000E625D"/>
    <w:rsid w:val="000E69FF"/>
    <w:rsid w:val="000E6B78"/>
    <w:rsid w:val="000F19DF"/>
    <w:rsid w:val="000F37C2"/>
    <w:rsid w:val="000F3B70"/>
    <w:rsid w:val="000F4A88"/>
    <w:rsid w:val="000F5B9A"/>
    <w:rsid w:val="000F5E66"/>
    <w:rsid w:val="000F6A5E"/>
    <w:rsid w:val="001000B4"/>
    <w:rsid w:val="001013C4"/>
    <w:rsid w:val="00101751"/>
    <w:rsid w:val="00101B2A"/>
    <w:rsid w:val="00102304"/>
    <w:rsid w:val="0010286D"/>
    <w:rsid w:val="00102E4B"/>
    <w:rsid w:val="001035EC"/>
    <w:rsid w:val="0010487A"/>
    <w:rsid w:val="001051E0"/>
    <w:rsid w:val="001055FC"/>
    <w:rsid w:val="00106A92"/>
    <w:rsid w:val="00106EC3"/>
    <w:rsid w:val="00107198"/>
    <w:rsid w:val="001103BA"/>
    <w:rsid w:val="0011174F"/>
    <w:rsid w:val="00111DD3"/>
    <w:rsid w:val="00112A69"/>
    <w:rsid w:val="00113106"/>
    <w:rsid w:val="00113D5B"/>
    <w:rsid w:val="00113E0E"/>
    <w:rsid w:val="001143D0"/>
    <w:rsid w:val="001170A0"/>
    <w:rsid w:val="00117BD5"/>
    <w:rsid w:val="00120225"/>
    <w:rsid w:val="00121C87"/>
    <w:rsid w:val="00121E02"/>
    <w:rsid w:val="001226B4"/>
    <w:rsid w:val="00122A41"/>
    <w:rsid w:val="00124164"/>
    <w:rsid w:val="00126F3F"/>
    <w:rsid w:val="001303DB"/>
    <w:rsid w:val="00130736"/>
    <w:rsid w:val="001325E3"/>
    <w:rsid w:val="00132BDD"/>
    <w:rsid w:val="00133878"/>
    <w:rsid w:val="00133FC1"/>
    <w:rsid w:val="001353C0"/>
    <w:rsid w:val="00137553"/>
    <w:rsid w:val="00141680"/>
    <w:rsid w:val="00143CCC"/>
    <w:rsid w:val="00143FF1"/>
    <w:rsid w:val="00144822"/>
    <w:rsid w:val="00145D82"/>
    <w:rsid w:val="00146332"/>
    <w:rsid w:val="00146B8D"/>
    <w:rsid w:val="00150AA2"/>
    <w:rsid w:val="0015100A"/>
    <w:rsid w:val="001535AD"/>
    <w:rsid w:val="00153A45"/>
    <w:rsid w:val="00154301"/>
    <w:rsid w:val="00160F75"/>
    <w:rsid w:val="0016119D"/>
    <w:rsid w:val="00161A0D"/>
    <w:rsid w:val="0016257E"/>
    <w:rsid w:val="001629FA"/>
    <w:rsid w:val="001638D3"/>
    <w:rsid w:val="00165741"/>
    <w:rsid w:val="00167B07"/>
    <w:rsid w:val="00170C61"/>
    <w:rsid w:val="00172ADF"/>
    <w:rsid w:val="00172FD0"/>
    <w:rsid w:val="001730D8"/>
    <w:rsid w:val="0017337C"/>
    <w:rsid w:val="0017348C"/>
    <w:rsid w:val="00175296"/>
    <w:rsid w:val="00176261"/>
    <w:rsid w:val="00176951"/>
    <w:rsid w:val="00177786"/>
    <w:rsid w:val="0018057A"/>
    <w:rsid w:val="0018101C"/>
    <w:rsid w:val="001824D3"/>
    <w:rsid w:val="00183017"/>
    <w:rsid w:val="001831FF"/>
    <w:rsid w:val="00185021"/>
    <w:rsid w:val="00185785"/>
    <w:rsid w:val="00185C06"/>
    <w:rsid w:val="00186C06"/>
    <w:rsid w:val="00186FCA"/>
    <w:rsid w:val="00187735"/>
    <w:rsid w:val="00190B33"/>
    <w:rsid w:val="00190B3B"/>
    <w:rsid w:val="00191859"/>
    <w:rsid w:val="00192500"/>
    <w:rsid w:val="0019432E"/>
    <w:rsid w:val="00194D69"/>
    <w:rsid w:val="0019539D"/>
    <w:rsid w:val="00195503"/>
    <w:rsid w:val="00195D7C"/>
    <w:rsid w:val="00195DB9"/>
    <w:rsid w:val="00196EF4"/>
    <w:rsid w:val="00197216"/>
    <w:rsid w:val="001976AE"/>
    <w:rsid w:val="00197FA6"/>
    <w:rsid w:val="001A001B"/>
    <w:rsid w:val="001A2DF2"/>
    <w:rsid w:val="001A308F"/>
    <w:rsid w:val="001A33D4"/>
    <w:rsid w:val="001A4741"/>
    <w:rsid w:val="001A4952"/>
    <w:rsid w:val="001A5C74"/>
    <w:rsid w:val="001A7C79"/>
    <w:rsid w:val="001B54FF"/>
    <w:rsid w:val="001B7278"/>
    <w:rsid w:val="001C1A14"/>
    <w:rsid w:val="001C1F17"/>
    <w:rsid w:val="001C2565"/>
    <w:rsid w:val="001C3023"/>
    <w:rsid w:val="001C3737"/>
    <w:rsid w:val="001C37D1"/>
    <w:rsid w:val="001C518A"/>
    <w:rsid w:val="001C5525"/>
    <w:rsid w:val="001D06AC"/>
    <w:rsid w:val="001D12B7"/>
    <w:rsid w:val="001D3449"/>
    <w:rsid w:val="001D4E0A"/>
    <w:rsid w:val="001D4FB3"/>
    <w:rsid w:val="001D55E9"/>
    <w:rsid w:val="001D583F"/>
    <w:rsid w:val="001D7F73"/>
    <w:rsid w:val="001E1A61"/>
    <w:rsid w:val="001E1E36"/>
    <w:rsid w:val="001E22BB"/>
    <w:rsid w:val="001E23EF"/>
    <w:rsid w:val="001E25B3"/>
    <w:rsid w:val="001E2F1E"/>
    <w:rsid w:val="001E2FFA"/>
    <w:rsid w:val="001E375B"/>
    <w:rsid w:val="001E45F1"/>
    <w:rsid w:val="001F017F"/>
    <w:rsid w:val="001F084B"/>
    <w:rsid w:val="001F12BD"/>
    <w:rsid w:val="001F2D39"/>
    <w:rsid w:val="001F3016"/>
    <w:rsid w:val="001F41FA"/>
    <w:rsid w:val="001F77C7"/>
    <w:rsid w:val="00202409"/>
    <w:rsid w:val="002037E4"/>
    <w:rsid w:val="00203ECB"/>
    <w:rsid w:val="00207743"/>
    <w:rsid w:val="00207B0B"/>
    <w:rsid w:val="00207BA0"/>
    <w:rsid w:val="00210AC2"/>
    <w:rsid w:val="00212FCF"/>
    <w:rsid w:val="00214659"/>
    <w:rsid w:val="00215161"/>
    <w:rsid w:val="00216AE4"/>
    <w:rsid w:val="00216DEF"/>
    <w:rsid w:val="0021784B"/>
    <w:rsid w:val="00217C86"/>
    <w:rsid w:val="0022173B"/>
    <w:rsid w:val="002228EE"/>
    <w:rsid w:val="00223206"/>
    <w:rsid w:val="0022391D"/>
    <w:rsid w:val="0022481F"/>
    <w:rsid w:val="00224830"/>
    <w:rsid w:val="00227A9E"/>
    <w:rsid w:val="00227CE3"/>
    <w:rsid w:val="00230F0C"/>
    <w:rsid w:val="002313CE"/>
    <w:rsid w:val="0023201F"/>
    <w:rsid w:val="0023267E"/>
    <w:rsid w:val="002329E2"/>
    <w:rsid w:val="00232DE0"/>
    <w:rsid w:val="002344B9"/>
    <w:rsid w:val="002357CC"/>
    <w:rsid w:val="00237306"/>
    <w:rsid w:val="0023762A"/>
    <w:rsid w:val="00240950"/>
    <w:rsid w:val="0024210E"/>
    <w:rsid w:val="002422D0"/>
    <w:rsid w:val="0024247F"/>
    <w:rsid w:val="00244E46"/>
    <w:rsid w:val="00245440"/>
    <w:rsid w:val="00245DD8"/>
    <w:rsid w:val="002465DF"/>
    <w:rsid w:val="00247CCD"/>
    <w:rsid w:val="0025025F"/>
    <w:rsid w:val="002507F2"/>
    <w:rsid w:val="002530CE"/>
    <w:rsid w:val="00253631"/>
    <w:rsid w:val="00255542"/>
    <w:rsid w:val="00257649"/>
    <w:rsid w:val="0026043B"/>
    <w:rsid w:val="0026162C"/>
    <w:rsid w:val="00264C0E"/>
    <w:rsid w:val="00264C6E"/>
    <w:rsid w:val="002654D8"/>
    <w:rsid w:val="00265E7F"/>
    <w:rsid w:val="00266541"/>
    <w:rsid w:val="002665BE"/>
    <w:rsid w:val="0026666F"/>
    <w:rsid w:val="00272841"/>
    <w:rsid w:val="00273AC1"/>
    <w:rsid w:val="00273B45"/>
    <w:rsid w:val="00273FF5"/>
    <w:rsid w:val="002743C1"/>
    <w:rsid w:val="0027548B"/>
    <w:rsid w:val="00275528"/>
    <w:rsid w:val="00275F22"/>
    <w:rsid w:val="00275FCD"/>
    <w:rsid w:val="0027749B"/>
    <w:rsid w:val="00280B53"/>
    <w:rsid w:val="00281E09"/>
    <w:rsid w:val="00282CE5"/>
    <w:rsid w:val="002836DD"/>
    <w:rsid w:val="00284B1C"/>
    <w:rsid w:val="00285EB7"/>
    <w:rsid w:val="002865FF"/>
    <w:rsid w:val="00286B1B"/>
    <w:rsid w:val="00287192"/>
    <w:rsid w:val="0028780A"/>
    <w:rsid w:val="002907EA"/>
    <w:rsid w:val="00290924"/>
    <w:rsid w:val="00291A5C"/>
    <w:rsid w:val="00292A86"/>
    <w:rsid w:val="00294E94"/>
    <w:rsid w:val="002951DD"/>
    <w:rsid w:val="0029576B"/>
    <w:rsid w:val="00296651"/>
    <w:rsid w:val="00297872"/>
    <w:rsid w:val="00297B60"/>
    <w:rsid w:val="002A0A09"/>
    <w:rsid w:val="002A2EA5"/>
    <w:rsid w:val="002A2F6D"/>
    <w:rsid w:val="002A361F"/>
    <w:rsid w:val="002A3FF7"/>
    <w:rsid w:val="002A4607"/>
    <w:rsid w:val="002A4B61"/>
    <w:rsid w:val="002A6A8F"/>
    <w:rsid w:val="002A76C1"/>
    <w:rsid w:val="002B0EEE"/>
    <w:rsid w:val="002B1684"/>
    <w:rsid w:val="002B3B19"/>
    <w:rsid w:val="002B45B5"/>
    <w:rsid w:val="002B4D0D"/>
    <w:rsid w:val="002B7B0D"/>
    <w:rsid w:val="002C0407"/>
    <w:rsid w:val="002C31AA"/>
    <w:rsid w:val="002C38E7"/>
    <w:rsid w:val="002C4F2D"/>
    <w:rsid w:val="002C4FA7"/>
    <w:rsid w:val="002C601B"/>
    <w:rsid w:val="002C6AB1"/>
    <w:rsid w:val="002C77FC"/>
    <w:rsid w:val="002D0B9F"/>
    <w:rsid w:val="002D0EB7"/>
    <w:rsid w:val="002D1B19"/>
    <w:rsid w:val="002D3A64"/>
    <w:rsid w:val="002D43A7"/>
    <w:rsid w:val="002D5B88"/>
    <w:rsid w:val="002D657A"/>
    <w:rsid w:val="002E0A6D"/>
    <w:rsid w:val="002E37A2"/>
    <w:rsid w:val="002E3D6C"/>
    <w:rsid w:val="002E4D8D"/>
    <w:rsid w:val="002E5D07"/>
    <w:rsid w:val="002E75B9"/>
    <w:rsid w:val="002F18E1"/>
    <w:rsid w:val="002F38C4"/>
    <w:rsid w:val="002F43FE"/>
    <w:rsid w:val="002F7B63"/>
    <w:rsid w:val="00300194"/>
    <w:rsid w:val="00301DE4"/>
    <w:rsid w:val="00304936"/>
    <w:rsid w:val="003049F3"/>
    <w:rsid w:val="0030678F"/>
    <w:rsid w:val="00307633"/>
    <w:rsid w:val="003079C1"/>
    <w:rsid w:val="00311593"/>
    <w:rsid w:val="00311B1F"/>
    <w:rsid w:val="003137AD"/>
    <w:rsid w:val="00314313"/>
    <w:rsid w:val="003153E4"/>
    <w:rsid w:val="00315D98"/>
    <w:rsid w:val="003174CC"/>
    <w:rsid w:val="00317534"/>
    <w:rsid w:val="0031778E"/>
    <w:rsid w:val="00317D29"/>
    <w:rsid w:val="003205BA"/>
    <w:rsid w:val="0032079A"/>
    <w:rsid w:val="00321C3E"/>
    <w:rsid w:val="003225BD"/>
    <w:rsid w:val="003231E4"/>
    <w:rsid w:val="00323E5F"/>
    <w:rsid w:val="00325C11"/>
    <w:rsid w:val="00325E75"/>
    <w:rsid w:val="0032669F"/>
    <w:rsid w:val="00327781"/>
    <w:rsid w:val="003303AB"/>
    <w:rsid w:val="00330892"/>
    <w:rsid w:val="003315B2"/>
    <w:rsid w:val="00331F91"/>
    <w:rsid w:val="003332BA"/>
    <w:rsid w:val="00334355"/>
    <w:rsid w:val="003355F5"/>
    <w:rsid w:val="00336438"/>
    <w:rsid w:val="00336B41"/>
    <w:rsid w:val="003407E8"/>
    <w:rsid w:val="00340B24"/>
    <w:rsid w:val="00343F92"/>
    <w:rsid w:val="00344D63"/>
    <w:rsid w:val="003456F8"/>
    <w:rsid w:val="00347899"/>
    <w:rsid w:val="00347ABB"/>
    <w:rsid w:val="0035000A"/>
    <w:rsid w:val="003509CB"/>
    <w:rsid w:val="00350CAD"/>
    <w:rsid w:val="003517A2"/>
    <w:rsid w:val="003521EB"/>
    <w:rsid w:val="003555CE"/>
    <w:rsid w:val="0035735B"/>
    <w:rsid w:val="0035766A"/>
    <w:rsid w:val="0036007B"/>
    <w:rsid w:val="003608D7"/>
    <w:rsid w:val="00360B58"/>
    <w:rsid w:val="00362B20"/>
    <w:rsid w:val="00363893"/>
    <w:rsid w:val="00364447"/>
    <w:rsid w:val="003648EB"/>
    <w:rsid w:val="00365F06"/>
    <w:rsid w:val="00365F4D"/>
    <w:rsid w:val="00367A96"/>
    <w:rsid w:val="003720DE"/>
    <w:rsid w:val="00373C53"/>
    <w:rsid w:val="00373D27"/>
    <w:rsid w:val="00374FA9"/>
    <w:rsid w:val="003750BB"/>
    <w:rsid w:val="003752ED"/>
    <w:rsid w:val="0037533A"/>
    <w:rsid w:val="00375941"/>
    <w:rsid w:val="00375AA1"/>
    <w:rsid w:val="0037627B"/>
    <w:rsid w:val="00381B35"/>
    <w:rsid w:val="00384C75"/>
    <w:rsid w:val="0038536D"/>
    <w:rsid w:val="003903E8"/>
    <w:rsid w:val="0039042B"/>
    <w:rsid w:val="00391B22"/>
    <w:rsid w:val="0039224D"/>
    <w:rsid w:val="00392B06"/>
    <w:rsid w:val="00393882"/>
    <w:rsid w:val="00393FA9"/>
    <w:rsid w:val="00394E87"/>
    <w:rsid w:val="00394F8F"/>
    <w:rsid w:val="003959FB"/>
    <w:rsid w:val="00395D6C"/>
    <w:rsid w:val="003961E0"/>
    <w:rsid w:val="00396625"/>
    <w:rsid w:val="00396805"/>
    <w:rsid w:val="00397055"/>
    <w:rsid w:val="003974EE"/>
    <w:rsid w:val="003A0586"/>
    <w:rsid w:val="003A0AB3"/>
    <w:rsid w:val="003A2856"/>
    <w:rsid w:val="003A3D18"/>
    <w:rsid w:val="003A40A0"/>
    <w:rsid w:val="003A474A"/>
    <w:rsid w:val="003A4839"/>
    <w:rsid w:val="003A4E17"/>
    <w:rsid w:val="003A6844"/>
    <w:rsid w:val="003A77F2"/>
    <w:rsid w:val="003B07EB"/>
    <w:rsid w:val="003B18A5"/>
    <w:rsid w:val="003B1DE7"/>
    <w:rsid w:val="003B24B5"/>
    <w:rsid w:val="003B32F4"/>
    <w:rsid w:val="003B38EC"/>
    <w:rsid w:val="003B4B4F"/>
    <w:rsid w:val="003B75B9"/>
    <w:rsid w:val="003B7905"/>
    <w:rsid w:val="003B7B75"/>
    <w:rsid w:val="003C0389"/>
    <w:rsid w:val="003C0600"/>
    <w:rsid w:val="003C1D56"/>
    <w:rsid w:val="003C2634"/>
    <w:rsid w:val="003C2F39"/>
    <w:rsid w:val="003C2FC0"/>
    <w:rsid w:val="003C38D8"/>
    <w:rsid w:val="003C3B07"/>
    <w:rsid w:val="003C444A"/>
    <w:rsid w:val="003C4CFB"/>
    <w:rsid w:val="003C5C81"/>
    <w:rsid w:val="003C5E1D"/>
    <w:rsid w:val="003C69CD"/>
    <w:rsid w:val="003C6D0D"/>
    <w:rsid w:val="003C78AC"/>
    <w:rsid w:val="003C7B27"/>
    <w:rsid w:val="003C7C8B"/>
    <w:rsid w:val="003D128E"/>
    <w:rsid w:val="003D1579"/>
    <w:rsid w:val="003D1CFA"/>
    <w:rsid w:val="003D3BA9"/>
    <w:rsid w:val="003D45F6"/>
    <w:rsid w:val="003D4A8C"/>
    <w:rsid w:val="003D504F"/>
    <w:rsid w:val="003D5D72"/>
    <w:rsid w:val="003D5FB8"/>
    <w:rsid w:val="003D6655"/>
    <w:rsid w:val="003E06E9"/>
    <w:rsid w:val="003E0912"/>
    <w:rsid w:val="003E19B6"/>
    <w:rsid w:val="003E1E61"/>
    <w:rsid w:val="003E2566"/>
    <w:rsid w:val="003E2B41"/>
    <w:rsid w:val="003E429F"/>
    <w:rsid w:val="003E51E5"/>
    <w:rsid w:val="003E57C7"/>
    <w:rsid w:val="003E6176"/>
    <w:rsid w:val="003E6A32"/>
    <w:rsid w:val="003F06BF"/>
    <w:rsid w:val="003F2944"/>
    <w:rsid w:val="003F2AFE"/>
    <w:rsid w:val="003F2E7B"/>
    <w:rsid w:val="003F4423"/>
    <w:rsid w:val="003F62FC"/>
    <w:rsid w:val="003F67E0"/>
    <w:rsid w:val="003F692A"/>
    <w:rsid w:val="003F6AAD"/>
    <w:rsid w:val="003F7D16"/>
    <w:rsid w:val="00400618"/>
    <w:rsid w:val="00401A2A"/>
    <w:rsid w:val="00401FDB"/>
    <w:rsid w:val="00402CE7"/>
    <w:rsid w:val="0040370F"/>
    <w:rsid w:val="004040C2"/>
    <w:rsid w:val="00405863"/>
    <w:rsid w:val="004069A1"/>
    <w:rsid w:val="00410720"/>
    <w:rsid w:val="0041098B"/>
    <w:rsid w:val="0041108E"/>
    <w:rsid w:val="0041186D"/>
    <w:rsid w:val="00411D87"/>
    <w:rsid w:val="00413EE9"/>
    <w:rsid w:val="00414C84"/>
    <w:rsid w:val="004152EC"/>
    <w:rsid w:val="004161CC"/>
    <w:rsid w:val="00416CD4"/>
    <w:rsid w:val="004202E0"/>
    <w:rsid w:val="00420AF3"/>
    <w:rsid w:val="00421C9F"/>
    <w:rsid w:val="004239D4"/>
    <w:rsid w:val="00424205"/>
    <w:rsid w:val="00425A49"/>
    <w:rsid w:val="00431DFB"/>
    <w:rsid w:val="00431E25"/>
    <w:rsid w:val="00434346"/>
    <w:rsid w:val="00435178"/>
    <w:rsid w:val="0043569E"/>
    <w:rsid w:val="00436E3E"/>
    <w:rsid w:val="00440D7A"/>
    <w:rsid w:val="0044295D"/>
    <w:rsid w:val="00444E0C"/>
    <w:rsid w:val="004451CF"/>
    <w:rsid w:val="004478E7"/>
    <w:rsid w:val="004509BE"/>
    <w:rsid w:val="004524AA"/>
    <w:rsid w:val="00454156"/>
    <w:rsid w:val="004552CA"/>
    <w:rsid w:val="00455AAE"/>
    <w:rsid w:val="00455D66"/>
    <w:rsid w:val="00456986"/>
    <w:rsid w:val="00456E00"/>
    <w:rsid w:val="00457121"/>
    <w:rsid w:val="0045754C"/>
    <w:rsid w:val="00457B97"/>
    <w:rsid w:val="004601F1"/>
    <w:rsid w:val="00460F77"/>
    <w:rsid w:val="0046108F"/>
    <w:rsid w:val="00463A66"/>
    <w:rsid w:val="00463AAE"/>
    <w:rsid w:val="00465117"/>
    <w:rsid w:val="004662DA"/>
    <w:rsid w:val="0046663C"/>
    <w:rsid w:val="00470CC5"/>
    <w:rsid w:val="0047116B"/>
    <w:rsid w:val="0047152F"/>
    <w:rsid w:val="004732EC"/>
    <w:rsid w:val="00473EF0"/>
    <w:rsid w:val="00476541"/>
    <w:rsid w:val="004774F7"/>
    <w:rsid w:val="0048080A"/>
    <w:rsid w:val="00480917"/>
    <w:rsid w:val="0048091C"/>
    <w:rsid w:val="00481686"/>
    <w:rsid w:val="004817EC"/>
    <w:rsid w:val="00482E93"/>
    <w:rsid w:val="004851DB"/>
    <w:rsid w:val="0048584F"/>
    <w:rsid w:val="00486471"/>
    <w:rsid w:val="0048656D"/>
    <w:rsid w:val="00486CB9"/>
    <w:rsid w:val="00490B9C"/>
    <w:rsid w:val="0049122D"/>
    <w:rsid w:val="00492BE9"/>
    <w:rsid w:val="00493176"/>
    <w:rsid w:val="004934F9"/>
    <w:rsid w:val="004951F7"/>
    <w:rsid w:val="004956A6"/>
    <w:rsid w:val="00497821"/>
    <w:rsid w:val="004978F5"/>
    <w:rsid w:val="004A06A2"/>
    <w:rsid w:val="004A17AC"/>
    <w:rsid w:val="004A226A"/>
    <w:rsid w:val="004A46A8"/>
    <w:rsid w:val="004A4B65"/>
    <w:rsid w:val="004A5C85"/>
    <w:rsid w:val="004B025D"/>
    <w:rsid w:val="004B36C1"/>
    <w:rsid w:val="004B46B9"/>
    <w:rsid w:val="004B4A78"/>
    <w:rsid w:val="004B4B53"/>
    <w:rsid w:val="004B6EDC"/>
    <w:rsid w:val="004B7070"/>
    <w:rsid w:val="004B7A63"/>
    <w:rsid w:val="004C06CC"/>
    <w:rsid w:val="004C17E8"/>
    <w:rsid w:val="004C214F"/>
    <w:rsid w:val="004C2E01"/>
    <w:rsid w:val="004C3CAD"/>
    <w:rsid w:val="004C434A"/>
    <w:rsid w:val="004C585D"/>
    <w:rsid w:val="004C61CE"/>
    <w:rsid w:val="004C75D4"/>
    <w:rsid w:val="004C7AFC"/>
    <w:rsid w:val="004C7B12"/>
    <w:rsid w:val="004D090E"/>
    <w:rsid w:val="004D0BDF"/>
    <w:rsid w:val="004D1904"/>
    <w:rsid w:val="004D2861"/>
    <w:rsid w:val="004D2992"/>
    <w:rsid w:val="004D2C37"/>
    <w:rsid w:val="004D3AF6"/>
    <w:rsid w:val="004D45DB"/>
    <w:rsid w:val="004D4AD5"/>
    <w:rsid w:val="004D4EEC"/>
    <w:rsid w:val="004D5A2A"/>
    <w:rsid w:val="004D7CDF"/>
    <w:rsid w:val="004E0D2B"/>
    <w:rsid w:val="004E0F1A"/>
    <w:rsid w:val="004E1276"/>
    <w:rsid w:val="004E12C7"/>
    <w:rsid w:val="004E1CCF"/>
    <w:rsid w:val="004E1D17"/>
    <w:rsid w:val="004E2130"/>
    <w:rsid w:val="004E2B0F"/>
    <w:rsid w:val="004E6585"/>
    <w:rsid w:val="004E7AEB"/>
    <w:rsid w:val="004F2FFB"/>
    <w:rsid w:val="004F30FC"/>
    <w:rsid w:val="004F4698"/>
    <w:rsid w:val="004F4B4B"/>
    <w:rsid w:val="004F50A7"/>
    <w:rsid w:val="00503F6D"/>
    <w:rsid w:val="00503F95"/>
    <w:rsid w:val="0050554E"/>
    <w:rsid w:val="00506B32"/>
    <w:rsid w:val="00507B16"/>
    <w:rsid w:val="00507B7D"/>
    <w:rsid w:val="005104C1"/>
    <w:rsid w:val="00511521"/>
    <w:rsid w:val="00511AFC"/>
    <w:rsid w:val="00512ABA"/>
    <w:rsid w:val="00513901"/>
    <w:rsid w:val="00513A54"/>
    <w:rsid w:val="00513FCF"/>
    <w:rsid w:val="005152CD"/>
    <w:rsid w:val="00515517"/>
    <w:rsid w:val="00515EF4"/>
    <w:rsid w:val="00515FE6"/>
    <w:rsid w:val="005170D6"/>
    <w:rsid w:val="0052142E"/>
    <w:rsid w:val="005214B5"/>
    <w:rsid w:val="00522AD3"/>
    <w:rsid w:val="00522ECA"/>
    <w:rsid w:val="00523264"/>
    <w:rsid w:val="00523757"/>
    <w:rsid w:val="00524160"/>
    <w:rsid w:val="00524770"/>
    <w:rsid w:val="00525121"/>
    <w:rsid w:val="00526672"/>
    <w:rsid w:val="00526CFD"/>
    <w:rsid w:val="0053019F"/>
    <w:rsid w:val="00531BF0"/>
    <w:rsid w:val="0053342B"/>
    <w:rsid w:val="005339B9"/>
    <w:rsid w:val="005364C9"/>
    <w:rsid w:val="00536856"/>
    <w:rsid w:val="00537962"/>
    <w:rsid w:val="00542585"/>
    <w:rsid w:val="0054329A"/>
    <w:rsid w:val="00543F80"/>
    <w:rsid w:val="005440E8"/>
    <w:rsid w:val="00546997"/>
    <w:rsid w:val="00546D8E"/>
    <w:rsid w:val="00547132"/>
    <w:rsid w:val="0055167F"/>
    <w:rsid w:val="005525F7"/>
    <w:rsid w:val="0055331E"/>
    <w:rsid w:val="00553F82"/>
    <w:rsid w:val="00556471"/>
    <w:rsid w:val="00557000"/>
    <w:rsid w:val="00557A18"/>
    <w:rsid w:val="00557BD8"/>
    <w:rsid w:val="00562354"/>
    <w:rsid w:val="00562561"/>
    <w:rsid w:val="00566F2E"/>
    <w:rsid w:val="0057130D"/>
    <w:rsid w:val="005717A1"/>
    <w:rsid w:val="00572F27"/>
    <w:rsid w:val="0057464E"/>
    <w:rsid w:val="0057569E"/>
    <w:rsid w:val="0057653E"/>
    <w:rsid w:val="0057750D"/>
    <w:rsid w:val="00580B2D"/>
    <w:rsid w:val="005832D6"/>
    <w:rsid w:val="0058604C"/>
    <w:rsid w:val="005865B9"/>
    <w:rsid w:val="0058721E"/>
    <w:rsid w:val="00587FF2"/>
    <w:rsid w:val="00591950"/>
    <w:rsid w:val="00591A7C"/>
    <w:rsid w:val="0059243F"/>
    <w:rsid w:val="00592B07"/>
    <w:rsid w:val="00593B55"/>
    <w:rsid w:val="005959B6"/>
    <w:rsid w:val="00596FA0"/>
    <w:rsid w:val="00597019"/>
    <w:rsid w:val="0059786E"/>
    <w:rsid w:val="00597EB3"/>
    <w:rsid w:val="005A0B18"/>
    <w:rsid w:val="005A418B"/>
    <w:rsid w:val="005A41A5"/>
    <w:rsid w:val="005A4300"/>
    <w:rsid w:val="005A44B4"/>
    <w:rsid w:val="005A7BE8"/>
    <w:rsid w:val="005B1AA7"/>
    <w:rsid w:val="005B57E8"/>
    <w:rsid w:val="005B7555"/>
    <w:rsid w:val="005B75EE"/>
    <w:rsid w:val="005C010D"/>
    <w:rsid w:val="005C01C9"/>
    <w:rsid w:val="005C0CBA"/>
    <w:rsid w:val="005C1969"/>
    <w:rsid w:val="005C2A3B"/>
    <w:rsid w:val="005C48F2"/>
    <w:rsid w:val="005D197B"/>
    <w:rsid w:val="005D1A8E"/>
    <w:rsid w:val="005D3FFC"/>
    <w:rsid w:val="005D496C"/>
    <w:rsid w:val="005D51EB"/>
    <w:rsid w:val="005D5EDB"/>
    <w:rsid w:val="005D66EF"/>
    <w:rsid w:val="005D6C2F"/>
    <w:rsid w:val="005D76B6"/>
    <w:rsid w:val="005D7F3E"/>
    <w:rsid w:val="005E0927"/>
    <w:rsid w:val="005E189D"/>
    <w:rsid w:val="005E1B37"/>
    <w:rsid w:val="005E2015"/>
    <w:rsid w:val="005E2C2A"/>
    <w:rsid w:val="005E533F"/>
    <w:rsid w:val="005E6251"/>
    <w:rsid w:val="005E75A7"/>
    <w:rsid w:val="005F0DEF"/>
    <w:rsid w:val="005F1574"/>
    <w:rsid w:val="005F205B"/>
    <w:rsid w:val="005F28DB"/>
    <w:rsid w:val="005F6698"/>
    <w:rsid w:val="005F72F4"/>
    <w:rsid w:val="00603827"/>
    <w:rsid w:val="0060466B"/>
    <w:rsid w:val="00607799"/>
    <w:rsid w:val="00610261"/>
    <w:rsid w:val="00610840"/>
    <w:rsid w:val="00612C7F"/>
    <w:rsid w:val="00614F22"/>
    <w:rsid w:val="006154BB"/>
    <w:rsid w:val="0061645D"/>
    <w:rsid w:val="00620CC4"/>
    <w:rsid w:val="00621054"/>
    <w:rsid w:val="006221FB"/>
    <w:rsid w:val="0062549E"/>
    <w:rsid w:val="006275F2"/>
    <w:rsid w:val="006279FC"/>
    <w:rsid w:val="0063071C"/>
    <w:rsid w:val="00630DEB"/>
    <w:rsid w:val="00634E83"/>
    <w:rsid w:val="00634E92"/>
    <w:rsid w:val="00635894"/>
    <w:rsid w:val="00636A20"/>
    <w:rsid w:val="00637A31"/>
    <w:rsid w:val="00640099"/>
    <w:rsid w:val="00640975"/>
    <w:rsid w:val="00643089"/>
    <w:rsid w:val="006434A8"/>
    <w:rsid w:val="00646374"/>
    <w:rsid w:val="0065099D"/>
    <w:rsid w:val="00650B49"/>
    <w:rsid w:val="006513B8"/>
    <w:rsid w:val="00652B0A"/>
    <w:rsid w:val="0065371C"/>
    <w:rsid w:val="00655815"/>
    <w:rsid w:val="00656A02"/>
    <w:rsid w:val="00656AB6"/>
    <w:rsid w:val="0066013C"/>
    <w:rsid w:val="00663D5A"/>
    <w:rsid w:val="0066449C"/>
    <w:rsid w:val="00664F1D"/>
    <w:rsid w:val="0066566E"/>
    <w:rsid w:val="00666433"/>
    <w:rsid w:val="00666C4E"/>
    <w:rsid w:val="00667394"/>
    <w:rsid w:val="00670A95"/>
    <w:rsid w:val="00672862"/>
    <w:rsid w:val="00673E3E"/>
    <w:rsid w:val="00675AEB"/>
    <w:rsid w:val="006765D6"/>
    <w:rsid w:val="00677A52"/>
    <w:rsid w:val="00680114"/>
    <w:rsid w:val="0068026E"/>
    <w:rsid w:val="006816BE"/>
    <w:rsid w:val="00682EE1"/>
    <w:rsid w:val="00684888"/>
    <w:rsid w:val="00684FAD"/>
    <w:rsid w:val="00685462"/>
    <w:rsid w:val="00685DC0"/>
    <w:rsid w:val="00686168"/>
    <w:rsid w:val="006928BB"/>
    <w:rsid w:val="00692F79"/>
    <w:rsid w:val="0069329C"/>
    <w:rsid w:val="006934DF"/>
    <w:rsid w:val="00693AA6"/>
    <w:rsid w:val="00693F46"/>
    <w:rsid w:val="00694A99"/>
    <w:rsid w:val="00695230"/>
    <w:rsid w:val="0069646C"/>
    <w:rsid w:val="006A123D"/>
    <w:rsid w:val="006A2AE2"/>
    <w:rsid w:val="006A2DAB"/>
    <w:rsid w:val="006A2E90"/>
    <w:rsid w:val="006A3452"/>
    <w:rsid w:val="006B0552"/>
    <w:rsid w:val="006B2321"/>
    <w:rsid w:val="006B29B4"/>
    <w:rsid w:val="006B2BE7"/>
    <w:rsid w:val="006B31F9"/>
    <w:rsid w:val="006B444E"/>
    <w:rsid w:val="006B770F"/>
    <w:rsid w:val="006B7B48"/>
    <w:rsid w:val="006D261F"/>
    <w:rsid w:val="006D2DEF"/>
    <w:rsid w:val="006D3A4C"/>
    <w:rsid w:val="006D771E"/>
    <w:rsid w:val="006D7753"/>
    <w:rsid w:val="006D7A53"/>
    <w:rsid w:val="006D7DF7"/>
    <w:rsid w:val="006D7E3F"/>
    <w:rsid w:val="006D7F64"/>
    <w:rsid w:val="006E0809"/>
    <w:rsid w:val="006E088A"/>
    <w:rsid w:val="006E180A"/>
    <w:rsid w:val="006E1ACE"/>
    <w:rsid w:val="006E2FE4"/>
    <w:rsid w:val="006E317E"/>
    <w:rsid w:val="006E54B5"/>
    <w:rsid w:val="006E556A"/>
    <w:rsid w:val="006E638E"/>
    <w:rsid w:val="006E64EA"/>
    <w:rsid w:val="006F0289"/>
    <w:rsid w:val="006F16FF"/>
    <w:rsid w:val="006F2CF4"/>
    <w:rsid w:val="006F42D7"/>
    <w:rsid w:val="006F4945"/>
    <w:rsid w:val="006F7E8F"/>
    <w:rsid w:val="007002CD"/>
    <w:rsid w:val="007048B3"/>
    <w:rsid w:val="00704A14"/>
    <w:rsid w:val="00705178"/>
    <w:rsid w:val="007051A9"/>
    <w:rsid w:val="007066B3"/>
    <w:rsid w:val="007101AF"/>
    <w:rsid w:val="00710CE0"/>
    <w:rsid w:val="00710E7A"/>
    <w:rsid w:val="007127B4"/>
    <w:rsid w:val="00712896"/>
    <w:rsid w:val="007143C9"/>
    <w:rsid w:val="00715AA0"/>
    <w:rsid w:val="00715BD0"/>
    <w:rsid w:val="00716F6C"/>
    <w:rsid w:val="00717A3B"/>
    <w:rsid w:val="0072025B"/>
    <w:rsid w:val="007230F3"/>
    <w:rsid w:val="00723BFE"/>
    <w:rsid w:val="00726832"/>
    <w:rsid w:val="00727178"/>
    <w:rsid w:val="00727D6D"/>
    <w:rsid w:val="00730FA6"/>
    <w:rsid w:val="00732624"/>
    <w:rsid w:val="00734EC9"/>
    <w:rsid w:val="007416EB"/>
    <w:rsid w:val="00741F70"/>
    <w:rsid w:val="007423B8"/>
    <w:rsid w:val="007428DF"/>
    <w:rsid w:val="00742984"/>
    <w:rsid w:val="007429DB"/>
    <w:rsid w:val="00744938"/>
    <w:rsid w:val="007458DA"/>
    <w:rsid w:val="00746D39"/>
    <w:rsid w:val="00746DA8"/>
    <w:rsid w:val="00747AF0"/>
    <w:rsid w:val="00750919"/>
    <w:rsid w:val="00750B37"/>
    <w:rsid w:val="00750F30"/>
    <w:rsid w:val="0075109E"/>
    <w:rsid w:val="00754607"/>
    <w:rsid w:val="00755B53"/>
    <w:rsid w:val="007578AE"/>
    <w:rsid w:val="007606C4"/>
    <w:rsid w:val="007607E4"/>
    <w:rsid w:val="00760967"/>
    <w:rsid w:val="00760F83"/>
    <w:rsid w:val="007611BA"/>
    <w:rsid w:val="00761265"/>
    <w:rsid w:val="007619B9"/>
    <w:rsid w:val="0076203F"/>
    <w:rsid w:val="00762148"/>
    <w:rsid w:val="00763789"/>
    <w:rsid w:val="00766319"/>
    <w:rsid w:val="00771CA8"/>
    <w:rsid w:val="00771D43"/>
    <w:rsid w:val="007728D0"/>
    <w:rsid w:val="00772EA9"/>
    <w:rsid w:val="00772FBA"/>
    <w:rsid w:val="0077311B"/>
    <w:rsid w:val="007740E3"/>
    <w:rsid w:val="007751FC"/>
    <w:rsid w:val="0077795C"/>
    <w:rsid w:val="00777DBA"/>
    <w:rsid w:val="00781565"/>
    <w:rsid w:val="00781644"/>
    <w:rsid w:val="007820CD"/>
    <w:rsid w:val="00783298"/>
    <w:rsid w:val="00784E01"/>
    <w:rsid w:val="00784EF5"/>
    <w:rsid w:val="0078738A"/>
    <w:rsid w:val="00787C6B"/>
    <w:rsid w:val="00787FC2"/>
    <w:rsid w:val="00790F4B"/>
    <w:rsid w:val="00791683"/>
    <w:rsid w:val="00793835"/>
    <w:rsid w:val="00793A5C"/>
    <w:rsid w:val="00793FA5"/>
    <w:rsid w:val="00795F10"/>
    <w:rsid w:val="007965A3"/>
    <w:rsid w:val="007A196B"/>
    <w:rsid w:val="007A1F4D"/>
    <w:rsid w:val="007A24FF"/>
    <w:rsid w:val="007A3271"/>
    <w:rsid w:val="007A48F3"/>
    <w:rsid w:val="007A562E"/>
    <w:rsid w:val="007A5844"/>
    <w:rsid w:val="007A6903"/>
    <w:rsid w:val="007A7370"/>
    <w:rsid w:val="007B08AB"/>
    <w:rsid w:val="007B218A"/>
    <w:rsid w:val="007B5F03"/>
    <w:rsid w:val="007B704B"/>
    <w:rsid w:val="007C256D"/>
    <w:rsid w:val="007C3A4A"/>
    <w:rsid w:val="007C3A92"/>
    <w:rsid w:val="007C6345"/>
    <w:rsid w:val="007C7231"/>
    <w:rsid w:val="007D132A"/>
    <w:rsid w:val="007D1ED1"/>
    <w:rsid w:val="007D1FA7"/>
    <w:rsid w:val="007D4CEE"/>
    <w:rsid w:val="007D54B0"/>
    <w:rsid w:val="007D5558"/>
    <w:rsid w:val="007D635A"/>
    <w:rsid w:val="007D6E20"/>
    <w:rsid w:val="007D73E9"/>
    <w:rsid w:val="007E0280"/>
    <w:rsid w:val="007E0A7A"/>
    <w:rsid w:val="007E2437"/>
    <w:rsid w:val="007E4D6E"/>
    <w:rsid w:val="007E760D"/>
    <w:rsid w:val="007F0CF1"/>
    <w:rsid w:val="007F10F9"/>
    <w:rsid w:val="007F14F9"/>
    <w:rsid w:val="007F2895"/>
    <w:rsid w:val="007F37EB"/>
    <w:rsid w:val="007F4E4A"/>
    <w:rsid w:val="007F5D84"/>
    <w:rsid w:val="00800501"/>
    <w:rsid w:val="008012E2"/>
    <w:rsid w:val="008013E7"/>
    <w:rsid w:val="00802A3C"/>
    <w:rsid w:val="00802FB9"/>
    <w:rsid w:val="00803A7F"/>
    <w:rsid w:val="00803E84"/>
    <w:rsid w:val="00805F3B"/>
    <w:rsid w:val="0080685F"/>
    <w:rsid w:val="00812277"/>
    <w:rsid w:val="008122DD"/>
    <w:rsid w:val="00813593"/>
    <w:rsid w:val="008141EC"/>
    <w:rsid w:val="00814819"/>
    <w:rsid w:val="008150BD"/>
    <w:rsid w:val="00815994"/>
    <w:rsid w:val="008172BA"/>
    <w:rsid w:val="0081777C"/>
    <w:rsid w:val="00817A8B"/>
    <w:rsid w:val="00820981"/>
    <w:rsid w:val="00821657"/>
    <w:rsid w:val="00821ACB"/>
    <w:rsid w:val="008231A8"/>
    <w:rsid w:val="00823DB3"/>
    <w:rsid w:val="0082641E"/>
    <w:rsid w:val="0082683F"/>
    <w:rsid w:val="00834282"/>
    <w:rsid w:val="0083436C"/>
    <w:rsid w:val="008366E2"/>
    <w:rsid w:val="00836DFD"/>
    <w:rsid w:val="00840452"/>
    <w:rsid w:val="008408CF"/>
    <w:rsid w:val="00842C1E"/>
    <w:rsid w:val="0084350E"/>
    <w:rsid w:val="008456EA"/>
    <w:rsid w:val="00845D83"/>
    <w:rsid w:val="008473CD"/>
    <w:rsid w:val="00851523"/>
    <w:rsid w:val="00851FBF"/>
    <w:rsid w:val="00852815"/>
    <w:rsid w:val="00852AA2"/>
    <w:rsid w:val="00853EE8"/>
    <w:rsid w:val="00854D87"/>
    <w:rsid w:val="00856C91"/>
    <w:rsid w:val="008613D3"/>
    <w:rsid w:val="00861ABD"/>
    <w:rsid w:val="008624EF"/>
    <w:rsid w:val="00864724"/>
    <w:rsid w:val="008650E7"/>
    <w:rsid w:val="00867179"/>
    <w:rsid w:val="00867D0B"/>
    <w:rsid w:val="0087091E"/>
    <w:rsid w:val="00871010"/>
    <w:rsid w:val="00871750"/>
    <w:rsid w:val="00874EA9"/>
    <w:rsid w:val="00876243"/>
    <w:rsid w:val="00877753"/>
    <w:rsid w:val="00877894"/>
    <w:rsid w:val="00880254"/>
    <w:rsid w:val="00881AAE"/>
    <w:rsid w:val="00881FDE"/>
    <w:rsid w:val="00887077"/>
    <w:rsid w:val="00887674"/>
    <w:rsid w:val="00890685"/>
    <w:rsid w:val="0089288D"/>
    <w:rsid w:val="008936B2"/>
    <w:rsid w:val="00895182"/>
    <w:rsid w:val="0089537A"/>
    <w:rsid w:val="00895C82"/>
    <w:rsid w:val="008969A3"/>
    <w:rsid w:val="00897AC0"/>
    <w:rsid w:val="008A09F0"/>
    <w:rsid w:val="008A0D21"/>
    <w:rsid w:val="008A0FB9"/>
    <w:rsid w:val="008A199A"/>
    <w:rsid w:val="008A2EE9"/>
    <w:rsid w:val="008A6E43"/>
    <w:rsid w:val="008A7CE0"/>
    <w:rsid w:val="008B0B27"/>
    <w:rsid w:val="008B0CFF"/>
    <w:rsid w:val="008B0DBA"/>
    <w:rsid w:val="008B16E5"/>
    <w:rsid w:val="008B1BFB"/>
    <w:rsid w:val="008B5F68"/>
    <w:rsid w:val="008B6A95"/>
    <w:rsid w:val="008C0624"/>
    <w:rsid w:val="008C0748"/>
    <w:rsid w:val="008C15AB"/>
    <w:rsid w:val="008C17BF"/>
    <w:rsid w:val="008C2A60"/>
    <w:rsid w:val="008C36D4"/>
    <w:rsid w:val="008C42A0"/>
    <w:rsid w:val="008C473E"/>
    <w:rsid w:val="008C4A7A"/>
    <w:rsid w:val="008C4EB3"/>
    <w:rsid w:val="008C69A7"/>
    <w:rsid w:val="008C7C83"/>
    <w:rsid w:val="008D0DB9"/>
    <w:rsid w:val="008D2CFB"/>
    <w:rsid w:val="008D39AD"/>
    <w:rsid w:val="008D53E0"/>
    <w:rsid w:val="008D559A"/>
    <w:rsid w:val="008D59D7"/>
    <w:rsid w:val="008D5BD2"/>
    <w:rsid w:val="008D70DF"/>
    <w:rsid w:val="008E0124"/>
    <w:rsid w:val="008E0805"/>
    <w:rsid w:val="008E1071"/>
    <w:rsid w:val="008E1158"/>
    <w:rsid w:val="008E1619"/>
    <w:rsid w:val="008E1794"/>
    <w:rsid w:val="008E19E8"/>
    <w:rsid w:val="008E24E3"/>
    <w:rsid w:val="008E31DC"/>
    <w:rsid w:val="008E4E9A"/>
    <w:rsid w:val="008E4EBF"/>
    <w:rsid w:val="008E525D"/>
    <w:rsid w:val="008E6F57"/>
    <w:rsid w:val="008E7D1B"/>
    <w:rsid w:val="008F0ABB"/>
    <w:rsid w:val="008F2698"/>
    <w:rsid w:val="008F26E4"/>
    <w:rsid w:val="008F31BF"/>
    <w:rsid w:val="008F437B"/>
    <w:rsid w:val="008F4F00"/>
    <w:rsid w:val="009000AC"/>
    <w:rsid w:val="0090039F"/>
    <w:rsid w:val="00900ACE"/>
    <w:rsid w:val="00900DB8"/>
    <w:rsid w:val="00901318"/>
    <w:rsid w:val="00902482"/>
    <w:rsid w:val="00906672"/>
    <w:rsid w:val="00906AD8"/>
    <w:rsid w:val="009129C2"/>
    <w:rsid w:val="009137D1"/>
    <w:rsid w:val="0091756A"/>
    <w:rsid w:val="0091795C"/>
    <w:rsid w:val="009179F4"/>
    <w:rsid w:val="00917C2A"/>
    <w:rsid w:val="00917F9C"/>
    <w:rsid w:val="009205A5"/>
    <w:rsid w:val="0092061E"/>
    <w:rsid w:val="00921615"/>
    <w:rsid w:val="00921A75"/>
    <w:rsid w:val="00921FD0"/>
    <w:rsid w:val="00921FD1"/>
    <w:rsid w:val="009223F7"/>
    <w:rsid w:val="0092306A"/>
    <w:rsid w:val="00925399"/>
    <w:rsid w:val="00926327"/>
    <w:rsid w:val="0092652C"/>
    <w:rsid w:val="0093034F"/>
    <w:rsid w:val="0093038E"/>
    <w:rsid w:val="00930EC1"/>
    <w:rsid w:val="009313EB"/>
    <w:rsid w:val="00931931"/>
    <w:rsid w:val="009325E7"/>
    <w:rsid w:val="00932CA7"/>
    <w:rsid w:val="009343D3"/>
    <w:rsid w:val="00935222"/>
    <w:rsid w:val="009372E9"/>
    <w:rsid w:val="00940D6C"/>
    <w:rsid w:val="00941123"/>
    <w:rsid w:val="00941405"/>
    <w:rsid w:val="00941AD2"/>
    <w:rsid w:val="00942256"/>
    <w:rsid w:val="00942299"/>
    <w:rsid w:val="009422E7"/>
    <w:rsid w:val="009426D4"/>
    <w:rsid w:val="009473DF"/>
    <w:rsid w:val="00950FC4"/>
    <w:rsid w:val="00951BE0"/>
    <w:rsid w:val="00952720"/>
    <w:rsid w:val="00954835"/>
    <w:rsid w:val="009553B3"/>
    <w:rsid w:val="009559FB"/>
    <w:rsid w:val="00955EFE"/>
    <w:rsid w:val="009569E8"/>
    <w:rsid w:val="00957FD6"/>
    <w:rsid w:val="00960B31"/>
    <w:rsid w:val="0096198F"/>
    <w:rsid w:val="00962779"/>
    <w:rsid w:val="0096559E"/>
    <w:rsid w:val="00966ABE"/>
    <w:rsid w:val="0097195C"/>
    <w:rsid w:val="00974780"/>
    <w:rsid w:val="00974BFF"/>
    <w:rsid w:val="00976A51"/>
    <w:rsid w:val="00977523"/>
    <w:rsid w:val="00977ABF"/>
    <w:rsid w:val="00977B37"/>
    <w:rsid w:val="00980902"/>
    <w:rsid w:val="009813E8"/>
    <w:rsid w:val="009829BC"/>
    <w:rsid w:val="00982EB0"/>
    <w:rsid w:val="009830C2"/>
    <w:rsid w:val="0098396B"/>
    <w:rsid w:val="009842F9"/>
    <w:rsid w:val="009915C6"/>
    <w:rsid w:val="0099163C"/>
    <w:rsid w:val="0099209C"/>
    <w:rsid w:val="0099480C"/>
    <w:rsid w:val="009951FF"/>
    <w:rsid w:val="00995B7D"/>
    <w:rsid w:val="00995FBA"/>
    <w:rsid w:val="009A15DE"/>
    <w:rsid w:val="009A31AA"/>
    <w:rsid w:val="009A3869"/>
    <w:rsid w:val="009A3A24"/>
    <w:rsid w:val="009A4D89"/>
    <w:rsid w:val="009A63AB"/>
    <w:rsid w:val="009A6FEE"/>
    <w:rsid w:val="009B022B"/>
    <w:rsid w:val="009B1480"/>
    <w:rsid w:val="009B4154"/>
    <w:rsid w:val="009B42EE"/>
    <w:rsid w:val="009B49E2"/>
    <w:rsid w:val="009B4EF6"/>
    <w:rsid w:val="009B5129"/>
    <w:rsid w:val="009B5887"/>
    <w:rsid w:val="009B60B9"/>
    <w:rsid w:val="009B6E98"/>
    <w:rsid w:val="009B7F5A"/>
    <w:rsid w:val="009C0531"/>
    <w:rsid w:val="009C07CB"/>
    <w:rsid w:val="009C103D"/>
    <w:rsid w:val="009C1459"/>
    <w:rsid w:val="009C4595"/>
    <w:rsid w:val="009C461B"/>
    <w:rsid w:val="009C6103"/>
    <w:rsid w:val="009C627E"/>
    <w:rsid w:val="009C6BC5"/>
    <w:rsid w:val="009D0005"/>
    <w:rsid w:val="009D03D5"/>
    <w:rsid w:val="009D0498"/>
    <w:rsid w:val="009D15B8"/>
    <w:rsid w:val="009D1933"/>
    <w:rsid w:val="009D2CF5"/>
    <w:rsid w:val="009D3A0C"/>
    <w:rsid w:val="009D3EC9"/>
    <w:rsid w:val="009D5DA9"/>
    <w:rsid w:val="009D6004"/>
    <w:rsid w:val="009D7999"/>
    <w:rsid w:val="009E1239"/>
    <w:rsid w:val="009E64AD"/>
    <w:rsid w:val="009E6851"/>
    <w:rsid w:val="009E7852"/>
    <w:rsid w:val="009F0933"/>
    <w:rsid w:val="009F1E98"/>
    <w:rsid w:val="009F4584"/>
    <w:rsid w:val="009F4699"/>
    <w:rsid w:val="009F48E4"/>
    <w:rsid w:val="009F59D9"/>
    <w:rsid w:val="009F756A"/>
    <w:rsid w:val="00A000C8"/>
    <w:rsid w:val="00A017C6"/>
    <w:rsid w:val="00A01A41"/>
    <w:rsid w:val="00A01F77"/>
    <w:rsid w:val="00A024EF"/>
    <w:rsid w:val="00A033A4"/>
    <w:rsid w:val="00A0342B"/>
    <w:rsid w:val="00A04E03"/>
    <w:rsid w:val="00A05324"/>
    <w:rsid w:val="00A1185F"/>
    <w:rsid w:val="00A118F9"/>
    <w:rsid w:val="00A11C3D"/>
    <w:rsid w:val="00A122EA"/>
    <w:rsid w:val="00A14CA7"/>
    <w:rsid w:val="00A15962"/>
    <w:rsid w:val="00A162DC"/>
    <w:rsid w:val="00A166EA"/>
    <w:rsid w:val="00A16E71"/>
    <w:rsid w:val="00A20A6F"/>
    <w:rsid w:val="00A21628"/>
    <w:rsid w:val="00A226EF"/>
    <w:rsid w:val="00A227F3"/>
    <w:rsid w:val="00A33DF2"/>
    <w:rsid w:val="00A34071"/>
    <w:rsid w:val="00A34E2C"/>
    <w:rsid w:val="00A35896"/>
    <w:rsid w:val="00A35F7E"/>
    <w:rsid w:val="00A3745C"/>
    <w:rsid w:val="00A41C83"/>
    <w:rsid w:val="00A421F2"/>
    <w:rsid w:val="00A42FDE"/>
    <w:rsid w:val="00A44855"/>
    <w:rsid w:val="00A451BA"/>
    <w:rsid w:val="00A4563F"/>
    <w:rsid w:val="00A46C54"/>
    <w:rsid w:val="00A46DCF"/>
    <w:rsid w:val="00A4717B"/>
    <w:rsid w:val="00A47420"/>
    <w:rsid w:val="00A50A5E"/>
    <w:rsid w:val="00A518C7"/>
    <w:rsid w:val="00A51EC3"/>
    <w:rsid w:val="00A53355"/>
    <w:rsid w:val="00A55C61"/>
    <w:rsid w:val="00A563D0"/>
    <w:rsid w:val="00A566CC"/>
    <w:rsid w:val="00A57463"/>
    <w:rsid w:val="00A57AE6"/>
    <w:rsid w:val="00A57E09"/>
    <w:rsid w:val="00A60BFA"/>
    <w:rsid w:val="00A6191C"/>
    <w:rsid w:val="00A621A7"/>
    <w:rsid w:val="00A62EE3"/>
    <w:rsid w:val="00A65DA4"/>
    <w:rsid w:val="00A67218"/>
    <w:rsid w:val="00A6789E"/>
    <w:rsid w:val="00A707B0"/>
    <w:rsid w:val="00A7105B"/>
    <w:rsid w:val="00A71971"/>
    <w:rsid w:val="00A72623"/>
    <w:rsid w:val="00A72DB3"/>
    <w:rsid w:val="00A73506"/>
    <w:rsid w:val="00A73664"/>
    <w:rsid w:val="00A76ECA"/>
    <w:rsid w:val="00A77379"/>
    <w:rsid w:val="00A7783C"/>
    <w:rsid w:val="00A80BCF"/>
    <w:rsid w:val="00A8185D"/>
    <w:rsid w:val="00A81A30"/>
    <w:rsid w:val="00A83B82"/>
    <w:rsid w:val="00A83B86"/>
    <w:rsid w:val="00A844A3"/>
    <w:rsid w:val="00A84B0A"/>
    <w:rsid w:val="00A86788"/>
    <w:rsid w:val="00A86945"/>
    <w:rsid w:val="00A869AD"/>
    <w:rsid w:val="00A86D26"/>
    <w:rsid w:val="00A870ED"/>
    <w:rsid w:val="00A90534"/>
    <w:rsid w:val="00A90C99"/>
    <w:rsid w:val="00A92674"/>
    <w:rsid w:val="00A92AE9"/>
    <w:rsid w:val="00A94E56"/>
    <w:rsid w:val="00A95D6F"/>
    <w:rsid w:val="00A97B58"/>
    <w:rsid w:val="00AA09C2"/>
    <w:rsid w:val="00AA0B6F"/>
    <w:rsid w:val="00AA162F"/>
    <w:rsid w:val="00AA364B"/>
    <w:rsid w:val="00AA3780"/>
    <w:rsid w:val="00AA5290"/>
    <w:rsid w:val="00AA78C7"/>
    <w:rsid w:val="00AB02B5"/>
    <w:rsid w:val="00AB1007"/>
    <w:rsid w:val="00AB1678"/>
    <w:rsid w:val="00AB3E15"/>
    <w:rsid w:val="00AB4957"/>
    <w:rsid w:val="00AB4A7D"/>
    <w:rsid w:val="00AB514A"/>
    <w:rsid w:val="00AB5204"/>
    <w:rsid w:val="00AB55AC"/>
    <w:rsid w:val="00AB5BA1"/>
    <w:rsid w:val="00AB5CEB"/>
    <w:rsid w:val="00AB77E9"/>
    <w:rsid w:val="00AC0128"/>
    <w:rsid w:val="00AC13D5"/>
    <w:rsid w:val="00AC17C9"/>
    <w:rsid w:val="00AC1C9A"/>
    <w:rsid w:val="00AC1E59"/>
    <w:rsid w:val="00AC313C"/>
    <w:rsid w:val="00AC48B6"/>
    <w:rsid w:val="00AC4A91"/>
    <w:rsid w:val="00AC67AA"/>
    <w:rsid w:val="00AC6A05"/>
    <w:rsid w:val="00AC6BC1"/>
    <w:rsid w:val="00AD15BE"/>
    <w:rsid w:val="00AD2FFE"/>
    <w:rsid w:val="00AD37B2"/>
    <w:rsid w:val="00AD385E"/>
    <w:rsid w:val="00AD6252"/>
    <w:rsid w:val="00AE2F63"/>
    <w:rsid w:val="00AE38BE"/>
    <w:rsid w:val="00AE4325"/>
    <w:rsid w:val="00AE4331"/>
    <w:rsid w:val="00AE4357"/>
    <w:rsid w:val="00AE47CB"/>
    <w:rsid w:val="00AE4916"/>
    <w:rsid w:val="00AE5801"/>
    <w:rsid w:val="00AE623D"/>
    <w:rsid w:val="00AF0B2B"/>
    <w:rsid w:val="00AF1785"/>
    <w:rsid w:val="00AF1D84"/>
    <w:rsid w:val="00AF25B2"/>
    <w:rsid w:val="00AF4650"/>
    <w:rsid w:val="00AF4DFD"/>
    <w:rsid w:val="00AF7211"/>
    <w:rsid w:val="00B0156A"/>
    <w:rsid w:val="00B0292B"/>
    <w:rsid w:val="00B03900"/>
    <w:rsid w:val="00B0451C"/>
    <w:rsid w:val="00B05618"/>
    <w:rsid w:val="00B0629B"/>
    <w:rsid w:val="00B064FC"/>
    <w:rsid w:val="00B11394"/>
    <w:rsid w:val="00B11A37"/>
    <w:rsid w:val="00B1459E"/>
    <w:rsid w:val="00B14A49"/>
    <w:rsid w:val="00B15131"/>
    <w:rsid w:val="00B17C9A"/>
    <w:rsid w:val="00B20C17"/>
    <w:rsid w:val="00B20D88"/>
    <w:rsid w:val="00B21FF0"/>
    <w:rsid w:val="00B224B1"/>
    <w:rsid w:val="00B234E5"/>
    <w:rsid w:val="00B25CB3"/>
    <w:rsid w:val="00B26EF6"/>
    <w:rsid w:val="00B303CD"/>
    <w:rsid w:val="00B30575"/>
    <w:rsid w:val="00B30BF0"/>
    <w:rsid w:val="00B32313"/>
    <w:rsid w:val="00B32491"/>
    <w:rsid w:val="00B32D7B"/>
    <w:rsid w:val="00B34311"/>
    <w:rsid w:val="00B34515"/>
    <w:rsid w:val="00B35329"/>
    <w:rsid w:val="00B36791"/>
    <w:rsid w:val="00B41AB3"/>
    <w:rsid w:val="00B424A2"/>
    <w:rsid w:val="00B42542"/>
    <w:rsid w:val="00B43849"/>
    <w:rsid w:val="00B43B04"/>
    <w:rsid w:val="00B47B67"/>
    <w:rsid w:val="00B47F65"/>
    <w:rsid w:val="00B50583"/>
    <w:rsid w:val="00B50693"/>
    <w:rsid w:val="00B513DD"/>
    <w:rsid w:val="00B52087"/>
    <w:rsid w:val="00B52326"/>
    <w:rsid w:val="00B5400A"/>
    <w:rsid w:val="00B55CFA"/>
    <w:rsid w:val="00B56546"/>
    <w:rsid w:val="00B60153"/>
    <w:rsid w:val="00B61947"/>
    <w:rsid w:val="00B626A6"/>
    <w:rsid w:val="00B62844"/>
    <w:rsid w:val="00B62B38"/>
    <w:rsid w:val="00B63659"/>
    <w:rsid w:val="00B638A1"/>
    <w:rsid w:val="00B6451B"/>
    <w:rsid w:val="00B6520D"/>
    <w:rsid w:val="00B66091"/>
    <w:rsid w:val="00B739C2"/>
    <w:rsid w:val="00B73F64"/>
    <w:rsid w:val="00B741B8"/>
    <w:rsid w:val="00B74C8B"/>
    <w:rsid w:val="00B76568"/>
    <w:rsid w:val="00B76D62"/>
    <w:rsid w:val="00B77200"/>
    <w:rsid w:val="00B804B0"/>
    <w:rsid w:val="00B81707"/>
    <w:rsid w:val="00B82287"/>
    <w:rsid w:val="00B8348C"/>
    <w:rsid w:val="00B85A3B"/>
    <w:rsid w:val="00B85C87"/>
    <w:rsid w:val="00B85CB7"/>
    <w:rsid w:val="00B85D58"/>
    <w:rsid w:val="00B864A2"/>
    <w:rsid w:val="00B86877"/>
    <w:rsid w:val="00B87880"/>
    <w:rsid w:val="00B93700"/>
    <w:rsid w:val="00B94ECD"/>
    <w:rsid w:val="00B953B2"/>
    <w:rsid w:val="00B969D1"/>
    <w:rsid w:val="00BA08CD"/>
    <w:rsid w:val="00BA1E7B"/>
    <w:rsid w:val="00BA27E8"/>
    <w:rsid w:val="00BA3239"/>
    <w:rsid w:val="00BA32B4"/>
    <w:rsid w:val="00BA64BD"/>
    <w:rsid w:val="00BA6BB1"/>
    <w:rsid w:val="00BA7716"/>
    <w:rsid w:val="00BB196B"/>
    <w:rsid w:val="00BB359B"/>
    <w:rsid w:val="00BB3D94"/>
    <w:rsid w:val="00BB4BC1"/>
    <w:rsid w:val="00BB4C75"/>
    <w:rsid w:val="00BB5E24"/>
    <w:rsid w:val="00BB6643"/>
    <w:rsid w:val="00BB6A47"/>
    <w:rsid w:val="00BB6DFB"/>
    <w:rsid w:val="00BB6F53"/>
    <w:rsid w:val="00BC0489"/>
    <w:rsid w:val="00BC0B47"/>
    <w:rsid w:val="00BC0EB5"/>
    <w:rsid w:val="00BC1020"/>
    <w:rsid w:val="00BC3DA3"/>
    <w:rsid w:val="00BC4FD6"/>
    <w:rsid w:val="00BC5C27"/>
    <w:rsid w:val="00BD0567"/>
    <w:rsid w:val="00BD0C1C"/>
    <w:rsid w:val="00BD0F4A"/>
    <w:rsid w:val="00BD2032"/>
    <w:rsid w:val="00BD3506"/>
    <w:rsid w:val="00BD3607"/>
    <w:rsid w:val="00BD52C6"/>
    <w:rsid w:val="00BD6ACD"/>
    <w:rsid w:val="00BD7891"/>
    <w:rsid w:val="00BD7C46"/>
    <w:rsid w:val="00BE0948"/>
    <w:rsid w:val="00BE1E74"/>
    <w:rsid w:val="00BE2A19"/>
    <w:rsid w:val="00BE2B5C"/>
    <w:rsid w:val="00BE3CA6"/>
    <w:rsid w:val="00BE59AE"/>
    <w:rsid w:val="00BE6B41"/>
    <w:rsid w:val="00BE7CAD"/>
    <w:rsid w:val="00BF0018"/>
    <w:rsid w:val="00BF13FC"/>
    <w:rsid w:val="00BF18BA"/>
    <w:rsid w:val="00BF1A09"/>
    <w:rsid w:val="00BF2908"/>
    <w:rsid w:val="00BF3D71"/>
    <w:rsid w:val="00BF4F00"/>
    <w:rsid w:val="00BF57BC"/>
    <w:rsid w:val="00BF5935"/>
    <w:rsid w:val="00BF6D57"/>
    <w:rsid w:val="00BF70A1"/>
    <w:rsid w:val="00BF73A7"/>
    <w:rsid w:val="00BF73E2"/>
    <w:rsid w:val="00BF7DD2"/>
    <w:rsid w:val="00C003DE"/>
    <w:rsid w:val="00C00551"/>
    <w:rsid w:val="00C01B91"/>
    <w:rsid w:val="00C021DC"/>
    <w:rsid w:val="00C04B1C"/>
    <w:rsid w:val="00C04BA6"/>
    <w:rsid w:val="00C04C58"/>
    <w:rsid w:val="00C04D28"/>
    <w:rsid w:val="00C05189"/>
    <w:rsid w:val="00C05207"/>
    <w:rsid w:val="00C057CF"/>
    <w:rsid w:val="00C06CE9"/>
    <w:rsid w:val="00C106FA"/>
    <w:rsid w:val="00C1082F"/>
    <w:rsid w:val="00C108C7"/>
    <w:rsid w:val="00C1217B"/>
    <w:rsid w:val="00C122F6"/>
    <w:rsid w:val="00C142FE"/>
    <w:rsid w:val="00C144DF"/>
    <w:rsid w:val="00C157ED"/>
    <w:rsid w:val="00C15DCE"/>
    <w:rsid w:val="00C167EF"/>
    <w:rsid w:val="00C21196"/>
    <w:rsid w:val="00C24C62"/>
    <w:rsid w:val="00C25126"/>
    <w:rsid w:val="00C2622E"/>
    <w:rsid w:val="00C262F2"/>
    <w:rsid w:val="00C26E2F"/>
    <w:rsid w:val="00C27162"/>
    <w:rsid w:val="00C3004F"/>
    <w:rsid w:val="00C31018"/>
    <w:rsid w:val="00C323E9"/>
    <w:rsid w:val="00C327B4"/>
    <w:rsid w:val="00C32972"/>
    <w:rsid w:val="00C3407A"/>
    <w:rsid w:val="00C3443C"/>
    <w:rsid w:val="00C34B3C"/>
    <w:rsid w:val="00C37542"/>
    <w:rsid w:val="00C407C2"/>
    <w:rsid w:val="00C41923"/>
    <w:rsid w:val="00C43F0A"/>
    <w:rsid w:val="00C4544D"/>
    <w:rsid w:val="00C45D99"/>
    <w:rsid w:val="00C47CED"/>
    <w:rsid w:val="00C47CF7"/>
    <w:rsid w:val="00C50469"/>
    <w:rsid w:val="00C51BDB"/>
    <w:rsid w:val="00C5288D"/>
    <w:rsid w:val="00C55A9C"/>
    <w:rsid w:val="00C56CE3"/>
    <w:rsid w:val="00C5719F"/>
    <w:rsid w:val="00C61D2A"/>
    <w:rsid w:val="00C6254C"/>
    <w:rsid w:val="00C62C0F"/>
    <w:rsid w:val="00C62DDE"/>
    <w:rsid w:val="00C63AE7"/>
    <w:rsid w:val="00C64C06"/>
    <w:rsid w:val="00C663B8"/>
    <w:rsid w:val="00C66600"/>
    <w:rsid w:val="00C66E40"/>
    <w:rsid w:val="00C672AC"/>
    <w:rsid w:val="00C674A3"/>
    <w:rsid w:val="00C67CC6"/>
    <w:rsid w:val="00C67DF4"/>
    <w:rsid w:val="00C67F22"/>
    <w:rsid w:val="00C7120B"/>
    <w:rsid w:val="00C73074"/>
    <w:rsid w:val="00C741C6"/>
    <w:rsid w:val="00C7630A"/>
    <w:rsid w:val="00C76904"/>
    <w:rsid w:val="00C76EC6"/>
    <w:rsid w:val="00C80047"/>
    <w:rsid w:val="00C8133C"/>
    <w:rsid w:val="00C8226E"/>
    <w:rsid w:val="00C83249"/>
    <w:rsid w:val="00C8395F"/>
    <w:rsid w:val="00C851BB"/>
    <w:rsid w:val="00C852EE"/>
    <w:rsid w:val="00C8556F"/>
    <w:rsid w:val="00C864E0"/>
    <w:rsid w:val="00C865A8"/>
    <w:rsid w:val="00C86719"/>
    <w:rsid w:val="00C86C2B"/>
    <w:rsid w:val="00C86E7A"/>
    <w:rsid w:val="00C87426"/>
    <w:rsid w:val="00C908A8"/>
    <w:rsid w:val="00C90A71"/>
    <w:rsid w:val="00C91EFA"/>
    <w:rsid w:val="00C92146"/>
    <w:rsid w:val="00C928D7"/>
    <w:rsid w:val="00C943DD"/>
    <w:rsid w:val="00C95475"/>
    <w:rsid w:val="00C956F5"/>
    <w:rsid w:val="00C95DD5"/>
    <w:rsid w:val="00C967CD"/>
    <w:rsid w:val="00C97129"/>
    <w:rsid w:val="00CA0B39"/>
    <w:rsid w:val="00CA458F"/>
    <w:rsid w:val="00CA504F"/>
    <w:rsid w:val="00CA5892"/>
    <w:rsid w:val="00CA6825"/>
    <w:rsid w:val="00CA69CE"/>
    <w:rsid w:val="00CA6C60"/>
    <w:rsid w:val="00CA7446"/>
    <w:rsid w:val="00CB048D"/>
    <w:rsid w:val="00CB234F"/>
    <w:rsid w:val="00CB3A77"/>
    <w:rsid w:val="00CB4CDD"/>
    <w:rsid w:val="00CB6A05"/>
    <w:rsid w:val="00CB6ACB"/>
    <w:rsid w:val="00CB7552"/>
    <w:rsid w:val="00CB7B24"/>
    <w:rsid w:val="00CB7E77"/>
    <w:rsid w:val="00CC1F1E"/>
    <w:rsid w:val="00CC205B"/>
    <w:rsid w:val="00CC2FCD"/>
    <w:rsid w:val="00CC3A5F"/>
    <w:rsid w:val="00CC5595"/>
    <w:rsid w:val="00CC5B4B"/>
    <w:rsid w:val="00CC7AD1"/>
    <w:rsid w:val="00CD0462"/>
    <w:rsid w:val="00CD1A7A"/>
    <w:rsid w:val="00CD3B07"/>
    <w:rsid w:val="00CD3F19"/>
    <w:rsid w:val="00CD4894"/>
    <w:rsid w:val="00CD5485"/>
    <w:rsid w:val="00CD6A52"/>
    <w:rsid w:val="00CE04F2"/>
    <w:rsid w:val="00CE08B3"/>
    <w:rsid w:val="00CE1861"/>
    <w:rsid w:val="00CE1896"/>
    <w:rsid w:val="00CE1A1A"/>
    <w:rsid w:val="00CE1DDC"/>
    <w:rsid w:val="00CE24F5"/>
    <w:rsid w:val="00CE3853"/>
    <w:rsid w:val="00CE3F3E"/>
    <w:rsid w:val="00CE4172"/>
    <w:rsid w:val="00CE522F"/>
    <w:rsid w:val="00CE7282"/>
    <w:rsid w:val="00CF1499"/>
    <w:rsid w:val="00CF221A"/>
    <w:rsid w:val="00CF2ADE"/>
    <w:rsid w:val="00CF3528"/>
    <w:rsid w:val="00CF5190"/>
    <w:rsid w:val="00CF5FC8"/>
    <w:rsid w:val="00CF6495"/>
    <w:rsid w:val="00CF7BF0"/>
    <w:rsid w:val="00CF7E05"/>
    <w:rsid w:val="00D035BF"/>
    <w:rsid w:val="00D042AF"/>
    <w:rsid w:val="00D05760"/>
    <w:rsid w:val="00D07E03"/>
    <w:rsid w:val="00D1184D"/>
    <w:rsid w:val="00D12A30"/>
    <w:rsid w:val="00D12C53"/>
    <w:rsid w:val="00D1385F"/>
    <w:rsid w:val="00D1457C"/>
    <w:rsid w:val="00D14C31"/>
    <w:rsid w:val="00D15D80"/>
    <w:rsid w:val="00D15E8A"/>
    <w:rsid w:val="00D161DA"/>
    <w:rsid w:val="00D164B2"/>
    <w:rsid w:val="00D16E03"/>
    <w:rsid w:val="00D17777"/>
    <w:rsid w:val="00D201AC"/>
    <w:rsid w:val="00D20DAB"/>
    <w:rsid w:val="00D246A9"/>
    <w:rsid w:val="00D24737"/>
    <w:rsid w:val="00D24B27"/>
    <w:rsid w:val="00D24EF2"/>
    <w:rsid w:val="00D25850"/>
    <w:rsid w:val="00D272A4"/>
    <w:rsid w:val="00D278CF"/>
    <w:rsid w:val="00D27B71"/>
    <w:rsid w:val="00D30412"/>
    <w:rsid w:val="00D33033"/>
    <w:rsid w:val="00D34DBC"/>
    <w:rsid w:val="00D355B4"/>
    <w:rsid w:val="00D35EAE"/>
    <w:rsid w:val="00D35FD6"/>
    <w:rsid w:val="00D371F1"/>
    <w:rsid w:val="00D406EE"/>
    <w:rsid w:val="00D4075E"/>
    <w:rsid w:val="00D418F9"/>
    <w:rsid w:val="00D4319A"/>
    <w:rsid w:val="00D43F09"/>
    <w:rsid w:val="00D45036"/>
    <w:rsid w:val="00D4562B"/>
    <w:rsid w:val="00D4579F"/>
    <w:rsid w:val="00D46916"/>
    <w:rsid w:val="00D51B3C"/>
    <w:rsid w:val="00D524BF"/>
    <w:rsid w:val="00D536F3"/>
    <w:rsid w:val="00D5395E"/>
    <w:rsid w:val="00D53FF6"/>
    <w:rsid w:val="00D541AA"/>
    <w:rsid w:val="00D54896"/>
    <w:rsid w:val="00D54C84"/>
    <w:rsid w:val="00D60BE5"/>
    <w:rsid w:val="00D61689"/>
    <w:rsid w:val="00D61807"/>
    <w:rsid w:val="00D61B45"/>
    <w:rsid w:val="00D62743"/>
    <w:rsid w:val="00D63245"/>
    <w:rsid w:val="00D639FB"/>
    <w:rsid w:val="00D63CB2"/>
    <w:rsid w:val="00D63F65"/>
    <w:rsid w:val="00D658BD"/>
    <w:rsid w:val="00D66322"/>
    <w:rsid w:val="00D66748"/>
    <w:rsid w:val="00D66932"/>
    <w:rsid w:val="00D67D47"/>
    <w:rsid w:val="00D705C1"/>
    <w:rsid w:val="00D71BE6"/>
    <w:rsid w:val="00D72006"/>
    <w:rsid w:val="00D7201E"/>
    <w:rsid w:val="00D731E1"/>
    <w:rsid w:val="00D745AA"/>
    <w:rsid w:val="00D74A9B"/>
    <w:rsid w:val="00D76150"/>
    <w:rsid w:val="00D767B2"/>
    <w:rsid w:val="00D769E7"/>
    <w:rsid w:val="00D77626"/>
    <w:rsid w:val="00D776C1"/>
    <w:rsid w:val="00D80627"/>
    <w:rsid w:val="00D808BA"/>
    <w:rsid w:val="00D81AD5"/>
    <w:rsid w:val="00D82DF8"/>
    <w:rsid w:val="00D83018"/>
    <w:rsid w:val="00D85BD1"/>
    <w:rsid w:val="00D864C2"/>
    <w:rsid w:val="00D869AE"/>
    <w:rsid w:val="00D87997"/>
    <w:rsid w:val="00D904A0"/>
    <w:rsid w:val="00D91DE8"/>
    <w:rsid w:val="00D91E5C"/>
    <w:rsid w:val="00D91F28"/>
    <w:rsid w:val="00D9401A"/>
    <w:rsid w:val="00D95863"/>
    <w:rsid w:val="00D95C1E"/>
    <w:rsid w:val="00D96A35"/>
    <w:rsid w:val="00D9711F"/>
    <w:rsid w:val="00DA05AC"/>
    <w:rsid w:val="00DA3384"/>
    <w:rsid w:val="00DA4AE3"/>
    <w:rsid w:val="00DA5A83"/>
    <w:rsid w:val="00DA7025"/>
    <w:rsid w:val="00DA75C2"/>
    <w:rsid w:val="00DB03BF"/>
    <w:rsid w:val="00DB1283"/>
    <w:rsid w:val="00DB133F"/>
    <w:rsid w:val="00DB3D04"/>
    <w:rsid w:val="00DB3E48"/>
    <w:rsid w:val="00DB41AF"/>
    <w:rsid w:val="00DB4430"/>
    <w:rsid w:val="00DB5396"/>
    <w:rsid w:val="00DB6074"/>
    <w:rsid w:val="00DB6DCF"/>
    <w:rsid w:val="00DB7FCE"/>
    <w:rsid w:val="00DC0F91"/>
    <w:rsid w:val="00DC11C1"/>
    <w:rsid w:val="00DC1B2A"/>
    <w:rsid w:val="00DC2323"/>
    <w:rsid w:val="00DC2B90"/>
    <w:rsid w:val="00DC32EC"/>
    <w:rsid w:val="00DC37AE"/>
    <w:rsid w:val="00DC4EA7"/>
    <w:rsid w:val="00DC60A6"/>
    <w:rsid w:val="00DC63BF"/>
    <w:rsid w:val="00DC6543"/>
    <w:rsid w:val="00DC6C36"/>
    <w:rsid w:val="00DC7E03"/>
    <w:rsid w:val="00DD03A6"/>
    <w:rsid w:val="00DD03D8"/>
    <w:rsid w:val="00DD1250"/>
    <w:rsid w:val="00DD249D"/>
    <w:rsid w:val="00DD24B6"/>
    <w:rsid w:val="00DD32DE"/>
    <w:rsid w:val="00DD330B"/>
    <w:rsid w:val="00DD35D3"/>
    <w:rsid w:val="00DD59DE"/>
    <w:rsid w:val="00DD706D"/>
    <w:rsid w:val="00DD74F8"/>
    <w:rsid w:val="00DE26DD"/>
    <w:rsid w:val="00DE2AF4"/>
    <w:rsid w:val="00DE3649"/>
    <w:rsid w:val="00DE3D6D"/>
    <w:rsid w:val="00DE4271"/>
    <w:rsid w:val="00DE5F48"/>
    <w:rsid w:val="00DF00E9"/>
    <w:rsid w:val="00DF113B"/>
    <w:rsid w:val="00DF1D68"/>
    <w:rsid w:val="00DF2EAD"/>
    <w:rsid w:val="00DF2ED5"/>
    <w:rsid w:val="00DF3D4B"/>
    <w:rsid w:val="00DF72D8"/>
    <w:rsid w:val="00DF759C"/>
    <w:rsid w:val="00E00126"/>
    <w:rsid w:val="00E00C42"/>
    <w:rsid w:val="00E00C9F"/>
    <w:rsid w:val="00E00E6A"/>
    <w:rsid w:val="00E0373D"/>
    <w:rsid w:val="00E037D5"/>
    <w:rsid w:val="00E04051"/>
    <w:rsid w:val="00E0409A"/>
    <w:rsid w:val="00E04BE4"/>
    <w:rsid w:val="00E06051"/>
    <w:rsid w:val="00E06AD8"/>
    <w:rsid w:val="00E0736E"/>
    <w:rsid w:val="00E114A5"/>
    <w:rsid w:val="00E12144"/>
    <w:rsid w:val="00E13743"/>
    <w:rsid w:val="00E137B0"/>
    <w:rsid w:val="00E155C2"/>
    <w:rsid w:val="00E15A8F"/>
    <w:rsid w:val="00E212DD"/>
    <w:rsid w:val="00E21819"/>
    <w:rsid w:val="00E23ECE"/>
    <w:rsid w:val="00E2453E"/>
    <w:rsid w:val="00E24652"/>
    <w:rsid w:val="00E2569D"/>
    <w:rsid w:val="00E30931"/>
    <w:rsid w:val="00E3205A"/>
    <w:rsid w:val="00E32E2E"/>
    <w:rsid w:val="00E331AA"/>
    <w:rsid w:val="00E33763"/>
    <w:rsid w:val="00E33C21"/>
    <w:rsid w:val="00E34D29"/>
    <w:rsid w:val="00E35AB5"/>
    <w:rsid w:val="00E35D27"/>
    <w:rsid w:val="00E3679F"/>
    <w:rsid w:val="00E36A93"/>
    <w:rsid w:val="00E36C86"/>
    <w:rsid w:val="00E3745D"/>
    <w:rsid w:val="00E37F9E"/>
    <w:rsid w:val="00E4104F"/>
    <w:rsid w:val="00E414B1"/>
    <w:rsid w:val="00E4332C"/>
    <w:rsid w:val="00E43563"/>
    <w:rsid w:val="00E4406D"/>
    <w:rsid w:val="00E44BCE"/>
    <w:rsid w:val="00E45DD8"/>
    <w:rsid w:val="00E46480"/>
    <w:rsid w:val="00E46AB0"/>
    <w:rsid w:val="00E4735C"/>
    <w:rsid w:val="00E47DD3"/>
    <w:rsid w:val="00E50A5F"/>
    <w:rsid w:val="00E51E47"/>
    <w:rsid w:val="00E52906"/>
    <w:rsid w:val="00E52D91"/>
    <w:rsid w:val="00E552F4"/>
    <w:rsid w:val="00E55601"/>
    <w:rsid w:val="00E55C72"/>
    <w:rsid w:val="00E56E82"/>
    <w:rsid w:val="00E5710B"/>
    <w:rsid w:val="00E573C7"/>
    <w:rsid w:val="00E60DD6"/>
    <w:rsid w:val="00E631FE"/>
    <w:rsid w:val="00E637FF"/>
    <w:rsid w:val="00E64315"/>
    <w:rsid w:val="00E64731"/>
    <w:rsid w:val="00E64DD4"/>
    <w:rsid w:val="00E653CB"/>
    <w:rsid w:val="00E66B53"/>
    <w:rsid w:val="00E672BE"/>
    <w:rsid w:val="00E6736C"/>
    <w:rsid w:val="00E67CB4"/>
    <w:rsid w:val="00E67CD1"/>
    <w:rsid w:val="00E701DB"/>
    <w:rsid w:val="00E70F81"/>
    <w:rsid w:val="00E72406"/>
    <w:rsid w:val="00E72C3B"/>
    <w:rsid w:val="00E742E1"/>
    <w:rsid w:val="00E74353"/>
    <w:rsid w:val="00E80438"/>
    <w:rsid w:val="00E85F0E"/>
    <w:rsid w:val="00E86ABB"/>
    <w:rsid w:val="00E87395"/>
    <w:rsid w:val="00E87672"/>
    <w:rsid w:val="00E9059C"/>
    <w:rsid w:val="00E91283"/>
    <w:rsid w:val="00E91CB4"/>
    <w:rsid w:val="00E91FB8"/>
    <w:rsid w:val="00E93B1E"/>
    <w:rsid w:val="00E94E72"/>
    <w:rsid w:val="00E96BFF"/>
    <w:rsid w:val="00EA0013"/>
    <w:rsid w:val="00EA1517"/>
    <w:rsid w:val="00EA1B59"/>
    <w:rsid w:val="00EA2C3B"/>
    <w:rsid w:val="00EA369E"/>
    <w:rsid w:val="00EA379C"/>
    <w:rsid w:val="00EA3FC9"/>
    <w:rsid w:val="00EA477D"/>
    <w:rsid w:val="00EA53F9"/>
    <w:rsid w:val="00EA54DD"/>
    <w:rsid w:val="00EA6261"/>
    <w:rsid w:val="00EA62D3"/>
    <w:rsid w:val="00EB0812"/>
    <w:rsid w:val="00EB0923"/>
    <w:rsid w:val="00EB099C"/>
    <w:rsid w:val="00EB23FB"/>
    <w:rsid w:val="00EB2929"/>
    <w:rsid w:val="00EB5FE4"/>
    <w:rsid w:val="00EB79D3"/>
    <w:rsid w:val="00EC1D17"/>
    <w:rsid w:val="00EC1F0D"/>
    <w:rsid w:val="00EC3411"/>
    <w:rsid w:val="00EC3918"/>
    <w:rsid w:val="00EC3DC6"/>
    <w:rsid w:val="00EC41A7"/>
    <w:rsid w:val="00EC41B2"/>
    <w:rsid w:val="00EC475F"/>
    <w:rsid w:val="00EC58A9"/>
    <w:rsid w:val="00EC6B84"/>
    <w:rsid w:val="00ED09D3"/>
    <w:rsid w:val="00ED0CD0"/>
    <w:rsid w:val="00ED1463"/>
    <w:rsid w:val="00ED1CAF"/>
    <w:rsid w:val="00ED1F8E"/>
    <w:rsid w:val="00ED27BD"/>
    <w:rsid w:val="00ED2952"/>
    <w:rsid w:val="00ED2D76"/>
    <w:rsid w:val="00ED38F9"/>
    <w:rsid w:val="00ED391E"/>
    <w:rsid w:val="00ED55D0"/>
    <w:rsid w:val="00EE00B4"/>
    <w:rsid w:val="00EE06C5"/>
    <w:rsid w:val="00EE228D"/>
    <w:rsid w:val="00EE4081"/>
    <w:rsid w:val="00EE5AE8"/>
    <w:rsid w:val="00EE65AA"/>
    <w:rsid w:val="00EE6638"/>
    <w:rsid w:val="00EE6FAC"/>
    <w:rsid w:val="00EE798D"/>
    <w:rsid w:val="00EF05B3"/>
    <w:rsid w:val="00EF0E8A"/>
    <w:rsid w:val="00EF0EAA"/>
    <w:rsid w:val="00EF1F68"/>
    <w:rsid w:val="00EF3A48"/>
    <w:rsid w:val="00EF467D"/>
    <w:rsid w:val="00EF4789"/>
    <w:rsid w:val="00EF47DA"/>
    <w:rsid w:val="00EF5369"/>
    <w:rsid w:val="00EF7F89"/>
    <w:rsid w:val="00F00842"/>
    <w:rsid w:val="00F00F9E"/>
    <w:rsid w:val="00F01A5B"/>
    <w:rsid w:val="00F02A6B"/>
    <w:rsid w:val="00F055F5"/>
    <w:rsid w:val="00F06087"/>
    <w:rsid w:val="00F06830"/>
    <w:rsid w:val="00F0767A"/>
    <w:rsid w:val="00F0796B"/>
    <w:rsid w:val="00F07F5A"/>
    <w:rsid w:val="00F11451"/>
    <w:rsid w:val="00F12847"/>
    <w:rsid w:val="00F12916"/>
    <w:rsid w:val="00F14081"/>
    <w:rsid w:val="00F172F0"/>
    <w:rsid w:val="00F20485"/>
    <w:rsid w:val="00F21418"/>
    <w:rsid w:val="00F2223E"/>
    <w:rsid w:val="00F226B1"/>
    <w:rsid w:val="00F2353B"/>
    <w:rsid w:val="00F24091"/>
    <w:rsid w:val="00F24A23"/>
    <w:rsid w:val="00F25CDE"/>
    <w:rsid w:val="00F2621C"/>
    <w:rsid w:val="00F26B5A"/>
    <w:rsid w:val="00F304A7"/>
    <w:rsid w:val="00F3133B"/>
    <w:rsid w:val="00F33C73"/>
    <w:rsid w:val="00F34884"/>
    <w:rsid w:val="00F365BF"/>
    <w:rsid w:val="00F37160"/>
    <w:rsid w:val="00F4109E"/>
    <w:rsid w:val="00F42E5F"/>
    <w:rsid w:val="00F441A5"/>
    <w:rsid w:val="00F44F87"/>
    <w:rsid w:val="00F54359"/>
    <w:rsid w:val="00F60458"/>
    <w:rsid w:val="00F60CDC"/>
    <w:rsid w:val="00F61060"/>
    <w:rsid w:val="00F62991"/>
    <w:rsid w:val="00F6321F"/>
    <w:rsid w:val="00F64CDB"/>
    <w:rsid w:val="00F658CF"/>
    <w:rsid w:val="00F70F15"/>
    <w:rsid w:val="00F71092"/>
    <w:rsid w:val="00F72433"/>
    <w:rsid w:val="00F72BFE"/>
    <w:rsid w:val="00F736B3"/>
    <w:rsid w:val="00F75CCA"/>
    <w:rsid w:val="00F772BC"/>
    <w:rsid w:val="00F772E6"/>
    <w:rsid w:val="00F77752"/>
    <w:rsid w:val="00F8053A"/>
    <w:rsid w:val="00F820D9"/>
    <w:rsid w:val="00F83029"/>
    <w:rsid w:val="00F83965"/>
    <w:rsid w:val="00F840E9"/>
    <w:rsid w:val="00F86169"/>
    <w:rsid w:val="00F87983"/>
    <w:rsid w:val="00F91A56"/>
    <w:rsid w:val="00F92F81"/>
    <w:rsid w:val="00F9330B"/>
    <w:rsid w:val="00F95A05"/>
    <w:rsid w:val="00F962BD"/>
    <w:rsid w:val="00F964F0"/>
    <w:rsid w:val="00F97BF9"/>
    <w:rsid w:val="00FA0ADB"/>
    <w:rsid w:val="00FA14A4"/>
    <w:rsid w:val="00FA4394"/>
    <w:rsid w:val="00FA5020"/>
    <w:rsid w:val="00FA5377"/>
    <w:rsid w:val="00FA6954"/>
    <w:rsid w:val="00FA70F8"/>
    <w:rsid w:val="00FB0C1B"/>
    <w:rsid w:val="00FB286F"/>
    <w:rsid w:val="00FB3396"/>
    <w:rsid w:val="00FB49A3"/>
    <w:rsid w:val="00FB4A63"/>
    <w:rsid w:val="00FB5898"/>
    <w:rsid w:val="00FB7617"/>
    <w:rsid w:val="00FB7643"/>
    <w:rsid w:val="00FC15B5"/>
    <w:rsid w:val="00FC23B7"/>
    <w:rsid w:val="00FC245B"/>
    <w:rsid w:val="00FC3C09"/>
    <w:rsid w:val="00FC4FBF"/>
    <w:rsid w:val="00FC58A6"/>
    <w:rsid w:val="00FC5D7A"/>
    <w:rsid w:val="00FC7862"/>
    <w:rsid w:val="00FC7DE0"/>
    <w:rsid w:val="00FD12EA"/>
    <w:rsid w:val="00FD211A"/>
    <w:rsid w:val="00FD3B44"/>
    <w:rsid w:val="00FD3BC0"/>
    <w:rsid w:val="00FD3EC3"/>
    <w:rsid w:val="00FD40D6"/>
    <w:rsid w:val="00FD4D5D"/>
    <w:rsid w:val="00FD56DF"/>
    <w:rsid w:val="00FD68D0"/>
    <w:rsid w:val="00FD695E"/>
    <w:rsid w:val="00FD7223"/>
    <w:rsid w:val="00FD7728"/>
    <w:rsid w:val="00FD7E1E"/>
    <w:rsid w:val="00FE1F42"/>
    <w:rsid w:val="00FE2F88"/>
    <w:rsid w:val="00FE3B32"/>
    <w:rsid w:val="00FE403B"/>
    <w:rsid w:val="00FE414A"/>
    <w:rsid w:val="00FE6671"/>
    <w:rsid w:val="00FF05F3"/>
    <w:rsid w:val="00FF3554"/>
    <w:rsid w:val="00FF4011"/>
    <w:rsid w:val="00FF482C"/>
    <w:rsid w:val="00FF54AE"/>
    <w:rsid w:val="00FF5815"/>
    <w:rsid w:val="00FF5835"/>
    <w:rsid w:val="00FF5BB9"/>
    <w:rsid w:val="00FF5E6A"/>
    <w:rsid w:val="00FF66E0"/>
    <w:rsid w:val="024DB53B"/>
    <w:rsid w:val="02C572E2"/>
    <w:rsid w:val="03A67199"/>
    <w:rsid w:val="042278BE"/>
    <w:rsid w:val="043B0421"/>
    <w:rsid w:val="048BFC45"/>
    <w:rsid w:val="0496F35C"/>
    <w:rsid w:val="04EEE62D"/>
    <w:rsid w:val="05790738"/>
    <w:rsid w:val="057ED2D9"/>
    <w:rsid w:val="0641B143"/>
    <w:rsid w:val="071D4F1F"/>
    <w:rsid w:val="073CD938"/>
    <w:rsid w:val="081AB8CC"/>
    <w:rsid w:val="0854BC4A"/>
    <w:rsid w:val="0897C64C"/>
    <w:rsid w:val="098E207A"/>
    <w:rsid w:val="099760BF"/>
    <w:rsid w:val="09B87AF9"/>
    <w:rsid w:val="09D87321"/>
    <w:rsid w:val="0A6F5D9B"/>
    <w:rsid w:val="0B8C9395"/>
    <w:rsid w:val="0BFC82C3"/>
    <w:rsid w:val="0C179EE1"/>
    <w:rsid w:val="0C95DBF9"/>
    <w:rsid w:val="0CC78DCA"/>
    <w:rsid w:val="0CF788BF"/>
    <w:rsid w:val="0D0FD607"/>
    <w:rsid w:val="0DB08C97"/>
    <w:rsid w:val="0DB703D4"/>
    <w:rsid w:val="0E126402"/>
    <w:rsid w:val="0E1BEA38"/>
    <w:rsid w:val="0E21AD8A"/>
    <w:rsid w:val="0E25CE14"/>
    <w:rsid w:val="0E31F770"/>
    <w:rsid w:val="0ED019B0"/>
    <w:rsid w:val="0F1DB402"/>
    <w:rsid w:val="0F2E2261"/>
    <w:rsid w:val="0F39DCCC"/>
    <w:rsid w:val="0F48A7A5"/>
    <w:rsid w:val="0FDBD702"/>
    <w:rsid w:val="107F5B4D"/>
    <w:rsid w:val="111F0A4E"/>
    <w:rsid w:val="113A0694"/>
    <w:rsid w:val="11F73464"/>
    <w:rsid w:val="137AE282"/>
    <w:rsid w:val="13884542"/>
    <w:rsid w:val="13964F3B"/>
    <w:rsid w:val="1399403B"/>
    <w:rsid w:val="1530B92E"/>
    <w:rsid w:val="156008FE"/>
    <w:rsid w:val="15AFE198"/>
    <w:rsid w:val="16EB7CE7"/>
    <w:rsid w:val="1717BD5A"/>
    <w:rsid w:val="172AE662"/>
    <w:rsid w:val="1772DD95"/>
    <w:rsid w:val="18125B3B"/>
    <w:rsid w:val="194507DE"/>
    <w:rsid w:val="1B4CDBEF"/>
    <w:rsid w:val="1BF1BD5E"/>
    <w:rsid w:val="1CC75A2B"/>
    <w:rsid w:val="1D6E8424"/>
    <w:rsid w:val="1DDF8040"/>
    <w:rsid w:val="1E322F6F"/>
    <w:rsid w:val="1E3577DC"/>
    <w:rsid w:val="1F029740"/>
    <w:rsid w:val="1F909AAC"/>
    <w:rsid w:val="1FD5D7B3"/>
    <w:rsid w:val="20439A04"/>
    <w:rsid w:val="20B9344A"/>
    <w:rsid w:val="20F88CE4"/>
    <w:rsid w:val="2102F28C"/>
    <w:rsid w:val="21A5F7C8"/>
    <w:rsid w:val="2249FD4E"/>
    <w:rsid w:val="22920E6C"/>
    <w:rsid w:val="233EC4E3"/>
    <w:rsid w:val="2344959A"/>
    <w:rsid w:val="23BC44D6"/>
    <w:rsid w:val="248FE9D8"/>
    <w:rsid w:val="24B04752"/>
    <w:rsid w:val="255FBF53"/>
    <w:rsid w:val="25628031"/>
    <w:rsid w:val="25840C61"/>
    <w:rsid w:val="25BD76C0"/>
    <w:rsid w:val="25C1A481"/>
    <w:rsid w:val="25CA97B4"/>
    <w:rsid w:val="25D601C5"/>
    <w:rsid w:val="26350A3C"/>
    <w:rsid w:val="26D3A625"/>
    <w:rsid w:val="26F6AE68"/>
    <w:rsid w:val="278B8621"/>
    <w:rsid w:val="281C1B3A"/>
    <w:rsid w:val="28888AB9"/>
    <w:rsid w:val="292C6A04"/>
    <w:rsid w:val="29867DC7"/>
    <w:rsid w:val="29BB67C7"/>
    <w:rsid w:val="29C4E495"/>
    <w:rsid w:val="29CDA682"/>
    <w:rsid w:val="29FDADEF"/>
    <w:rsid w:val="2A0DB6B2"/>
    <w:rsid w:val="2B310F11"/>
    <w:rsid w:val="2BB73100"/>
    <w:rsid w:val="2BC07E89"/>
    <w:rsid w:val="2E063410"/>
    <w:rsid w:val="2E525E79"/>
    <w:rsid w:val="2ED212C4"/>
    <w:rsid w:val="2EE476F4"/>
    <w:rsid w:val="2F264483"/>
    <w:rsid w:val="2F769855"/>
    <w:rsid w:val="2F97642C"/>
    <w:rsid w:val="2FC07FB8"/>
    <w:rsid w:val="308FB332"/>
    <w:rsid w:val="30FFA500"/>
    <w:rsid w:val="31697393"/>
    <w:rsid w:val="31F3500E"/>
    <w:rsid w:val="31FF0227"/>
    <w:rsid w:val="32622738"/>
    <w:rsid w:val="32862629"/>
    <w:rsid w:val="32A98A5F"/>
    <w:rsid w:val="342E1BB0"/>
    <w:rsid w:val="34C67590"/>
    <w:rsid w:val="350A104C"/>
    <w:rsid w:val="3740CC40"/>
    <w:rsid w:val="37B0EDD6"/>
    <w:rsid w:val="3841ACB3"/>
    <w:rsid w:val="385BADF7"/>
    <w:rsid w:val="388B2EE9"/>
    <w:rsid w:val="39911330"/>
    <w:rsid w:val="39C25F67"/>
    <w:rsid w:val="39F6866B"/>
    <w:rsid w:val="3A679FC3"/>
    <w:rsid w:val="3A8D9583"/>
    <w:rsid w:val="3ACCF2CD"/>
    <w:rsid w:val="3B52E6ED"/>
    <w:rsid w:val="3B80B9C2"/>
    <w:rsid w:val="3BB93EB4"/>
    <w:rsid w:val="3CCD664A"/>
    <w:rsid w:val="3D71CCF1"/>
    <w:rsid w:val="3D90E28B"/>
    <w:rsid w:val="3DD1281B"/>
    <w:rsid w:val="3DE0B7C5"/>
    <w:rsid w:val="3E46DCE9"/>
    <w:rsid w:val="3E988D9B"/>
    <w:rsid w:val="3ED1F6A8"/>
    <w:rsid w:val="3F132BB4"/>
    <w:rsid w:val="3F17D3A1"/>
    <w:rsid w:val="401B2DA8"/>
    <w:rsid w:val="401BC0BE"/>
    <w:rsid w:val="4057FCE9"/>
    <w:rsid w:val="40B39E79"/>
    <w:rsid w:val="40CC8006"/>
    <w:rsid w:val="40F7B495"/>
    <w:rsid w:val="40F88A9E"/>
    <w:rsid w:val="41CEF8D0"/>
    <w:rsid w:val="42208A9F"/>
    <w:rsid w:val="423120D1"/>
    <w:rsid w:val="429BDF1D"/>
    <w:rsid w:val="42BB4347"/>
    <w:rsid w:val="444EBACB"/>
    <w:rsid w:val="446BDE73"/>
    <w:rsid w:val="449F6D1A"/>
    <w:rsid w:val="45474FC9"/>
    <w:rsid w:val="46468034"/>
    <w:rsid w:val="46DC7280"/>
    <w:rsid w:val="46DE42F9"/>
    <w:rsid w:val="46DF1366"/>
    <w:rsid w:val="46F46DB1"/>
    <w:rsid w:val="483DF154"/>
    <w:rsid w:val="484A4536"/>
    <w:rsid w:val="48C524BB"/>
    <w:rsid w:val="490C2909"/>
    <w:rsid w:val="4913811C"/>
    <w:rsid w:val="495F7FC4"/>
    <w:rsid w:val="4A3B2BDB"/>
    <w:rsid w:val="4A679694"/>
    <w:rsid w:val="4BEDC34E"/>
    <w:rsid w:val="4C59AC34"/>
    <w:rsid w:val="4C934FDC"/>
    <w:rsid w:val="4CB29A1B"/>
    <w:rsid w:val="4CF94B69"/>
    <w:rsid w:val="4E0289B1"/>
    <w:rsid w:val="4E072D6F"/>
    <w:rsid w:val="4E26413E"/>
    <w:rsid w:val="4E6CEB62"/>
    <w:rsid w:val="4E6D5710"/>
    <w:rsid w:val="4EAF2D89"/>
    <w:rsid w:val="4EB1B86E"/>
    <w:rsid w:val="4ED31249"/>
    <w:rsid w:val="4F1B4FAC"/>
    <w:rsid w:val="4F776037"/>
    <w:rsid w:val="5013C691"/>
    <w:rsid w:val="5077DA6F"/>
    <w:rsid w:val="50F79B9A"/>
    <w:rsid w:val="5109628D"/>
    <w:rsid w:val="51735B84"/>
    <w:rsid w:val="51A5DF5F"/>
    <w:rsid w:val="52162651"/>
    <w:rsid w:val="52F3C12C"/>
    <w:rsid w:val="53DA695F"/>
    <w:rsid w:val="5403B6D4"/>
    <w:rsid w:val="540BB3B3"/>
    <w:rsid w:val="54F7260A"/>
    <w:rsid w:val="555A0631"/>
    <w:rsid w:val="556096C8"/>
    <w:rsid w:val="558894F7"/>
    <w:rsid w:val="55CE62E0"/>
    <w:rsid w:val="56C9C651"/>
    <w:rsid w:val="56D7D1CE"/>
    <w:rsid w:val="56E53C8B"/>
    <w:rsid w:val="57509CCB"/>
    <w:rsid w:val="576DBE04"/>
    <w:rsid w:val="57A64509"/>
    <w:rsid w:val="57BF3D86"/>
    <w:rsid w:val="58886BAA"/>
    <w:rsid w:val="589FAC49"/>
    <w:rsid w:val="58DC09F4"/>
    <w:rsid w:val="5909F04F"/>
    <w:rsid w:val="590C3B10"/>
    <w:rsid w:val="5A1778A7"/>
    <w:rsid w:val="5A1879DC"/>
    <w:rsid w:val="5A30F1F2"/>
    <w:rsid w:val="5A4D0D9E"/>
    <w:rsid w:val="5AC088BA"/>
    <w:rsid w:val="5B867287"/>
    <w:rsid w:val="5C6B044D"/>
    <w:rsid w:val="5CB2D0E3"/>
    <w:rsid w:val="5D7828B9"/>
    <w:rsid w:val="5E35E11F"/>
    <w:rsid w:val="5E863813"/>
    <w:rsid w:val="5E88280C"/>
    <w:rsid w:val="5FF06393"/>
    <w:rsid w:val="609A5400"/>
    <w:rsid w:val="61F83714"/>
    <w:rsid w:val="6217707F"/>
    <w:rsid w:val="62A236F5"/>
    <w:rsid w:val="62F80998"/>
    <w:rsid w:val="632C8358"/>
    <w:rsid w:val="63830729"/>
    <w:rsid w:val="63CEB3FB"/>
    <w:rsid w:val="63FCB0FE"/>
    <w:rsid w:val="64A510B4"/>
    <w:rsid w:val="64B897FF"/>
    <w:rsid w:val="64D32B49"/>
    <w:rsid w:val="650B839E"/>
    <w:rsid w:val="6524807E"/>
    <w:rsid w:val="66050D42"/>
    <w:rsid w:val="6635A835"/>
    <w:rsid w:val="67DDBD37"/>
    <w:rsid w:val="680C43E3"/>
    <w:rsid w:val="684AB2CE"/>
    <w:rsid w:val="68ABC272"/>
    <w:rsid w:val="68E19014"/>
    <w:rsid w:val="68E436AC"/>
    <w:rsid w:val="698674E1"/>
    <w:rsid w:val="6ABE8BD4"/>
    <w:rsid w:val="6B3985AD"/>
    <w:rsid w:val="6BB22474"/>
    <w:rsid w:val="6BB571AC"/>
    <w:rsid w:val="6BFAEF98"/>
    <w:rsid w:val="6C811A0C"/>
    <w:rsid w:val="6CF718C9"/>
    <w:rsid w:val="6D526B29"/>
    <w:rsid w:val="6D56510F"/>
    <w:rsid w:val="6D67168B"/>
    <w:rsid w:val="6DB5D533"/>
    <w:rsid w:val="6DFC86A4"/>
    <w:rsid w:val="6E135EBE"/>
    <w:rsid w:val="6E5AF10E"/>
    <w:rsid w:val="6ED202FB"/>
    <w:rsid w:val="6EEF5826"/>
    <w:rsid w:val="6EF1CD08"/>
    <w:rsid w:val="6F05E49B"/>
    <w:rsid w:val="702DBA5A"/>
    <w:rsid w:val="70788B12"/>
    <w:rsid w:val="708FE9DF"/>
    <w:rsid w:val="71BA894D"/>
    <w:rsid w:val="7230FC75"/>
    <w:rsid w:val="7279FC82"/>
    <w:rsid w:val="729B09A8"/>
    <w:rsid w:val="72F23D7E"/>
    <w:rsid w:val="73844A10"/>
    <w:rsid w:val="740795E5"/>
    <w:rsid w:val="74655F16"/>
    <w:rsid w:val="746B0F7B"/>
    <w:rsid w:val="7479E61A"/>
    <w:rsid w:val="74A21406"/>
    <w:rsid w:val="756D9C37"/>
    <w:rsid w:val="759B80CB"/>
    <w:rsid w:val="75E94EED"/>
    <w:rsid w:val="761CD75D"/>
    <w:rsid w:val="773F626A"/>
    <w:rsid w:val="7788DC8E"/>
    <w:rsid w:val="77A8D98F"/>
    <w:rsid w:val="78013211"/>
    <w:rsid w:val="78917883"/>
    <w:rsid w:val="78AAB197"/>
    <w:rsid w:val="794FF889"/>
    <w:rsid w:val="795DC854"/>
    <w:rsid w:val="796310CA"/>
    <w:rsid w:val="7A6B890C"/>
    <w:rsid w:val="7AA9E314"/>
    <w:rsid w:val="7B57C113"/>
    <w:rsid w:val="7B6DF349"/>
    <w:rsid w:val="7BCE6288"/>
    <w:rsid w:val="7BE6E91C"/>
    <w:rsid w:val="7C7BAAF5"/>
    <w:rsid w:val="7C99764A"/>
    <w:rsid w:val="7D6A29AF"/>
    <w:rsid w:val="7E591B0D"/>
    <w:rsid w:val="7E74FCD8"/>
    <w:rsid w:val="7EB4A1D3"/>
    <w:rsid w:val="7EED96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6C3B"/>
  <w14:defaultImageDpi w14:val="32767"/>
  <w15:chartTrackingRefBased/>
  <w15:docId w15:val="{6E144C8C-D9A3-4E39-B998-B9C6C94F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5A81"/>
    <w:rPr>
      <w:rFonts w:eastAsiaTheme="minorEastAsia"/>
    </w:rPr>
  </w:style>
  <w:style w:type="paragraph" w:styleId="Heading1">
    <w:name w:val="heading 1"/>
    <w:basedOn w:val="Normal"/>
    <w:next w:val="Normal"/>
    <w:link w:val="Heading1Char"/>
    <w:uiPriority w:val="9"/>
    <w:qFormat/>
    <w:rsid w:val="003A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39"/>
    <w:rPr>
      <w:rFonts w:eastAsiaTheme="majorEastAsia" w:cstheme="majorBidi"/>
      <w:color w:val="272727" w:themeColor="text1" w:themeTint="D8"/>
    </w:rPr>
  </w:style>
  <w:style w:type="paragraph" w:styleId="Title">
    <w:name w:val="Title"/>
    <w:basedOn w:val="Normal"/>
    <w:next w:val="Normal"/>
    <w:link w:val="TitleChar"/>
    <w:uiPriority w:val="10"/>
    <w:qFormat/>
    <w:rsid w:val="003A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839"/>
    <w:rPr>
      <w:i/>
      <w:iCs/>
      <w:color w:val="404040" w:themeColor="text1" w:themeTint="BF"/>
    </w:rPr>
  </w:style>
  <w:style w:type="paragraph" w:styleId="ListParagraph">
    <w:name w:val="List Paragraph"/>
    <w:basedOn w:val="Normal"/>
    <w:uiPriority w:val="34"/>
    <w:qFormat/>
    <w:rsid w:val="003A4839"/>
    <w:pPr>
      <w:ind w:left="720"/>
      <w:contextualSpacing/>
    </w:pPr>
  </w:style>
  <w:style w:type="character" w:styleId="IntenseEmphasis">
    <w:name w:val="Intense Emphasis"/>
    <w:basedOn w:val="DefaultParagraphFont"/>
    <w:uiPriority w:val="21"/>
    <w:qFormat/>
    <w:rsid w:val="003A4839"/>
    <w:rPr>
      <w:i/>
      <w:iCs/>
      <w:color w:val="0F4761" w:themeColor="accent1" w:themeShade="BF"/>
    </w:rPr>
  </w:style>
  <w:style w:type="paragraph" w:styleId="IntenseQuote">
    <w:name w:val="Intense Quote"/>
    <w:basedOn w:val="Normal"/>
    <w:next w:val="Normal"/>
    <w:link w:val="IntenseQuoteChar"/>
    <w:uiPriority w:val="30"/>
    <w:qFormat/>
    <w:rsid w:val="003A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39"/>
    <w:rPr>
      <w:i/>
      <w:iCs/>
      <w:color w:val="0F4761" w:themeColor="accent1" w:themeShade="BF"/>
    </w:rPr>
  </w:style>
  <w:style w:type="character" w:styleId="IntenseReference">
    <w:name w:val="Intense Reference"/>
    <w:basedOn w:val="DefaultParagraphFont"/>
    <w:uiPriority w:val="32"/>
    <w:qFormat/>
    <w:rsid w:val="003A4839"/>
    <w:rPr>
      <w:b/>
      <w:bCs/>
      <w:smallCaps/>
      <w:color w:val="0F4761" w:themeColor="accent1" w:themeShade="BF"/>
      <w:spacing w:val="5"/>
    </w:rPr>
  </w:style>
  <w:style w:type="paragraph" w:styleId="Header">
    <w:name w:val="header"/>
    <w:basedOn w:val="Normal"/>
    <w:link w:val="HeaderChar"/>
    <w:uiPriority w:val="99"/>
    <w:unhideWhenUsed/>
    <w:rsid w:val="003A4839"/>
    <w:pPr>
      <w:tabs>
        <w:tab w:val="center" w:pos="4680"/>
        <w:tab w:val="right" w:pos="9360"/>
      </w:tabs>
    </w:pPr>
  </w:style>
  <w:style w:type="character" w:customStyle="1" w:styleId="HeaderChar">
    <w:name w:val="Header Char"/>
    <w:basedOn w:val="DefaultParagraphFont"/>
    <w:link w:val="Header"/>
    <w:uiPriority w:val="99"/>
    <w:rsid w:val="003A4839"/>
    <w:rPr>
      <w:rFonts w:eastAsiaTheme="minorEastAsia"/>
    </w:rPr>
  </w:style>
  <w:style w:type="paragraph" w:styleId="Footer">
    <w:name w:val="footer"/>
    <w:basedOn w:val="Normal"/>
    <w:link w:val="FooterChar"/>
    <w:uiPriority w:val="99"/>
    <w:unhideWhenUsed/>
    <w:rsid w:val="003A4839"/>
    <w:pPr>
      <w:tabs>
        <w:tab w:val="center" w:pos="4680"/>
        <w:tab w:val="right" w:pos="9360"/>
      </w:tabs>
    </w:pPr>
  </w:style>
  <w:style w:type="character" w:customStyle="1" w:styleId="FooterChar">
    <w:name w:val="Footer Char"/>
    <w:basedOn w:val="DefaultParagraphFont"/>
    <w:link w:val="Footer"/>
    <w:uiPriority w:val="99"/>
    <w:rsid w:val="003A4839"/>
    <w:rPr>
      <w:rFonts w:eastAsiaTheme="minorEastAsia"/>
    </w:rPr>
  </w:style>
  <w:style w:type="paragraph" w:customStyle="1" w:styleId="QIDANHeading">
    <w:name w:val="QIDAN Heading"/>
    <w:basedOn w:val="Normal"/>
    <w:qFormat/>
    <w:rsid w:val="00F11451"/>
    <w:pPr>
      <w:spacing w:line="360" w:lineRule="auto"/>
    </w:pPr>
    <w:rPr>
      <w:rFonts w:ascii="Poppins SemiBold" w:hAnsi="Poppins SemiBold"/>
      <w:b/>
      <w:bCs/>
      <w:color w:val="690048"/>
      <w:sz w:val="48"/>
      <w:szCs w:val="48"/>
      <w:lang w:val="en-AU"/>
    </w:rPr>
  </w:style>
  <w:style w:type="paragraph" w:customStyle="1" w:styleId="QIDANSubheading">
    <w:name w:val="QIDAN Subheading"/>
    <w:basedOn w:val="Normal"/>
    <w:qFormat/>
    <w:rsid w:val="00F11451"/>
    <w:pPr>
      <w:spacing w:line="360" w:lineRule="auto"/>
    </w:pPr>
    <w:rPr>
      <w:rFonts w:ascii="Nunito Sans" w:hAnsi="Nunito Sans"/>
      <w:b/>
      <w:bCs/>
      <w:color w:val="690048"/>
      <w:sz w:val="28"/>
      <w:lang w:val="en-AU"/>
    </w:rPr>
  </w:style>
  <w:style w:type="paragraph" w:customStyle="1" w:styleId="QIDANParagraph">
    <w:name w:val="QIDAN Paragraph"/>
    <w:basedOn w:val="Normal"/>
    <w:qFormat/>
    <w:rsid w:val="00F11451"/>
    <w:pPr>
      <w:spacing w:line="360" w:lineRule="auto"/>
    </w:pPr>
    <w:rPr>
      <w:rFonts w:ascii="Nunito Sans" w:hAnsi="Nunito Sans"/>
      <w:szCs w:val="20"/>
      <w:lang w:val="en-AU"/>
    </w:rPr>
  </w:style>
  <w:style w:type="character" w:styleId="PageNumber">
    <w:name w:val="page number"/>
    <w:basedOn w:val="DefaultParagraphFont"/>
    <w:uiPriority w:val="99"/>
    <w:semiHidden/>
    <w:unhideWhenUsed/>
    <w:rsid w:val="002C77FC"/>
  </w:style>
  <w:style w:type="character" w:styleId="Hyperlink">
    <w:name w:val="Hyperlink"/>
    <w:basedOn w:val="DefaultParagraphFont"/>
    <w:uiPriority w:val="99"/>
    <w:unhideWhenUsed/>
    <w:rsid w:val="000B7CD4"/>
    <w:rPr>
      <w:color w:val="467886"/>
      <w:u w:val="single"/>
    </w:rPr>
  </w:style>
  <w:style w:type="paragraph" w:styleId="TOCHeading">
    <w:name w:val="TOC Heading"/>
    <w:basedOn w:val="Heading1"/>
    <w:next w:val="Normal"/>
    <w:uiPriority w:val="39"/>
    <w:unhideWhenUsed/>
    <w:qFormat/>
    <w:rsid w:val="000B7CD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B7CD4"/>
    <w:pPr>
      <w:tabs>
        <w:tab w:val="right" w:leader="dot" w:pos="9737"/>
      </w:tabs>
      <w:spacing w:after="100" w:line="360" w:lineRule="auto"/>
    </w:pPr>
    <w:rPr>
      <w:rFonts w:ascii="Nunito Sans" w:hAnsi="Nunito Sans"/>
      <w:bCs/>
      <w:noProof/>
      <w:lang w:val="en-AU"/>
    </w:rPr>
  </w:style>
  <w:style w:type="character" w:styleId="CommentReference">
    <w:name w:val="annotation reference"/>
    <w:basedOn w:val="DefaultParagraphFont"/>
    <w:uiPriority w:val="99"/>
    <w:semiHidden/>
    <w:unhideWhenUsed/>
    <w:rsid w:val="000D56EA"/>
    <w:rPr>
      <w:sz w:val="16"/>
      <w:szCs w:val="16"/>
    </w:rPr>
  </w:style>
  <w:style w:type="paragraph" w:styleId="CommentText">
    <w:name w:val="annotation text"/>
    <w:basedOn w:val="Normal"/>
    <w:link w:val="CommentTextChar"/>
    <w:uiPriority w:val="99"/>
    <w:unhideWhenUsed/>
    <w:rsid w:val="000D56EA"/>
    <w:rPr>
      <w:sz w:val="20"/>
      <w:szCs w:val="20"/>
    </w:rPr>
  </w:style>
  <w:style w:type="character" w:customStyle="1" w:styleId="CommentTextChar">
    <w:name w:val="Comment Text Char"/>
    <w:basedOn w:val="DefaultParagraphFont"/>
    <w:link w:val="CommentText"/>
    <w:uiPriority w:val="99"/>
    <w:rsid w:val="000D56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56EA"/>
    <w:rPr>
      <w:b/>
      <w:bCs/>
    </w:rPr>
  </w:style>
  <w:style w:type="character" w:customStyle="1" w:styleId="CommentSubjectChar">
    <w:name w:val="Comment Subject Char"/>
    <w:basedOn w:val="CommentTextChar"/>
    <w:link w:val="CommentSubject"/>
    <w:uiPriority w:val="99"/>
    <w:semiHidden/>
    <w:rsid w:val="000D56EA"/>
    <w:rPr>
      <w:rFonts w:eastAsiaTheme="minorEastAsia"/>
      <w:b/>
      <w:bCs/>
      <w:sz w:val="20"/>
      <w:szCs w:val="20"/>
    </w:rPr>
  </w:style>
  <w:style w:type="paragraph" w:styleId="FootnoteText">
    <w:name w:val="footnote text"/>
    <w:basedOn w:val="Normal"/>
    <w:link w:val="FootnoteTextChar"/>
    <w:uiPriority w:val="99"/>
    <w:semiHidden/>
    <w:unhideWhenUsed/>
    <w:rsid w:val="00F172F0"/>
    <w:rPr>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F172F0"/>
    <w:rPr>
      <w:rFonts w:eastAsiaTheme="minorEastAsia"/>
      <w:kern w:val="0"/>
      <w:sz w:val="20"/>
      <w:szCs w:val="20"/>
      <w:lang w:eastAsia="ja-JP"/>
      <w14:ligatures w14:val="none"/>
    </w:rPr>
  </w:style>
  <w:style w:type="character" w:styleId="FootnoteReference">
    <w:name w:val="footnote reference"/>
    <w:basedOn w:val="DefaultParagraphFont"/>
    <w:unhideWhenUsed/>
    <w:rsid w:val="00F172F0"/>
    <w:rPr>
      <w:vertAlign w:val="superscript"/>
    </w:rPr>
  </w:style>
  <w:style w:type="table" w:styleId="TableGrid">
    <w:name w:val="Table Grid"/>
    <w:basedOn w:val="TableNormal"/>
    <w:uiPriority w:val="39"/>
    <w:rsid w:val="00A57463"/>
    <w:tblPr/>
  </w:style>
  <w:style w:type="paragraph" w:styleId="Revision">
    <w:name w:val="Revision"/>
    <w:hidden/>
    <w:uiPriority w:val="99"/>
    <w:semiHidden/>
    <w:rsid w:val="00940D6C"/>
    <w:rPr>
      <w:rFonts w:eastAsiaTheme="minorEastAsia"/>
    </w:rPr>
  </w:style>
  <w:style w:type="character" w:styleId="UnresolvedMention">
    <w:name w:val="Unresolved Mention"/>
    <w:basedOn w:val="DefaultParagraphFont"/>
    <w:uiPriority w:val="99"/>
    <w:rsid w:val="003079C1"/>
    <w:rPr>
      <w:color w:val="605E5C"/>
      <w:shd w:val="clear" w:color="auto" w:fill="E1DFDD"/>
    </w:rPr>
  </w:style>
  <w:style w:type="character" w:styleId="FollowedHyperlink">
    <w:name w:val="FollowedHyperlink"/>
    <w:basedOn w:val="DefaultParagraphFont"/>
    <w:uiPriority w:val="99"/>
    <w:semiHidden/>
    <w:unhideWhenUsed/>
    <w:rsid w:val="00C167EF"/>
    <w:rPr>
      <w:color w:val="96607D" w:themeColor="followedHyperlink"/>
      <w:u w:val="single"/>
    </w:rPr>
  </w:style>
  <w:style w:type="character" w:styleId="Mention">
    <w:name w:val="Mention"/>
    <w:basedOn w:val="DefaultParagraphFont"/>
    <w:uiPriority w:val="99"/>
    <w:unhideWhenUsed/>
    <w:rsid w:val="00186C06"/>
    <w:rPr>
      <w:color w:val="2B579A"/>
      <w:shd w:val="clear" w:color="auto" w:fill="E1DFDD"/>
    </w:rPr>
  </w:style>
  <w:style w:type="paragraph" w:styleId="NormalWeb">
    <w:name w:val="Normal (Web)"/>
    <w:basedOn w:val="Normal"/>
    <w:uiPriority w:val="99"/>
    <w:semiHidden/>
    <w:unhideWhenUsed/>
    <w:rsid w:val="003B38EC"/>
    <w:rPr>
      <w:rFonts w:ascii="Times New Roman" w:hAnsi="Times New Roman" w:cs="Times New Roman"/>
    </w:rPr>
  </w:style>
  <w:style w:type="paragraph" w:styleId="EndnoteText">
    <w:name w:val="endnote text"/>
    <w:basedOn w:val="Normal"/>
    <w:link w:val="EndnoteTextChar"/>
    <w:uiPriority w:val="99"/>
    <w:semiHidden/>
    <w:unhideWhenUsed/>
    <w:rsid w:val="00DD706D"/>
    <w:rPr>
      <w:rFonts w:ascii="Arial" w:eastAsia="Arial" w:hAnsi="Arial" w:cs="Arial"/>
      <w:kern w:val="0"/>
      <w:sz w:val="20"/>
      <w:szCs w:val="20"/>
      <w:lang w:eastAsia="ja-JP"/>
      <w14:ligatures w14:val="none"/>
    </w:rPr>
  </w:style>
  <w:style w:type="character" w:customStyle="1" w:styleId="EndnoteTextChar">
    <w:name w:val="Endnote Text Char"/>
    <w:basedOn w:val="DefaultParagraphFont"/>
    <w:link w:val="EndnoteText"/>
    <w:uiPriority w:val="99"/>
    <w:semiHidden/>
    <w:rsid w:val="00DD706D"/>
    <w:rPr>
      <w:rFonts w:ascii="Arial" w:eastAsia="Arial" w:hAnsi="Arial" w:cs="Arial"/>
      <w:kern w:val="0"/>
      <w:sz w:val="20"/>
      <w:szCs w:val="20"/>
      <w:lang w:eastAsia="ja-JP"/>
      <w14:ligatures w14:val="none"/>
    </w:rPr>
  </w:style>
  <w:style w:type="character" w:styleId="EndnoteReference">
    <w:name w:val="endnote reference"/>
    <w:basedOn w:val="DefaultParagraphFont"/>
    <w:uiPriority w:val="99"/>
    <w:semiHidden/>
    <w:unhideWhenUsed/>
    <w:rsid w:val="00DD70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parliament.qld.gov.au/tableoffice/questionsanswers/2025/903-20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qai.org.au/wp-content/uploads/2024/07/Economic-cost-of-suspensions-for-students-with-disability-findings-summar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ighttolearn.com.au/" TargetMode="External"/><Relationship Id="rId5" Type="http://schemas.openxmlformats.org/officeDocument/2006/relationships/numbering" Target="numbering.xml"/><Relationship Id="rId15" Type="http://schemas.openxmlformats.org/officeDocument/2006/relationships/hyperlink" Target="https://www.publications.qld.gov.au/dataset/anti-discrimination-bill-2024-consultation/resource/f6e7fb8e-ec58-4b7f-aab2-5788ad9f3fb2"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ai.org.au/wp-content/uploads/2024/07/Economic-cost-of-suspensions-for-students-with-disability-full-documentatio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elcomingdisability.com/materials-for-learning" TargetMode="External"/><Relationship Id="rId13" Type="http://schemas.openxmlformats.org/officeDocument/2006/relationships/hyperlink" Target="https://www.qhrc.qld.gov.au/about-us/reviews/ada" TargetMode="External"/><Relationship Id="rId3" Type="http://schemas.openxmlformats.org/officeDocument/2006/relationships/hyperlink" Target="https://statements.qld.gov.au/statements/102168" TargetMode="External"/><Relationship Id="rId7" Type="http://schemas.openxmlformats.org/officeDocument/2006/relationships/hyperlink" Target="https://www.qfcc.qld.gov.au/sites/default/files/2025-09/Report-Include-me-dont-exclude-me.pdf" TargetMode="External"/><Relationship Id="rId12" Type="http://schemas.openxmlformats.org/officeDocument/2006/relationships/hyperlink" Target="https://qai.org.au/wp-content/uploads/2021/12/Disability-Standards-for-Accessible-Public-Transport-Jan-2019.pdf" TargetMode="External"/><Relationship Id="rId2" Type="http://schemas.openxmlformats.org/officeDocument/2006/relationships/hyperlink" Target="https://www.qhrc.qld.gov.au/about-us/reviews/ada" TargetMode="External"/><Relationship Id="rId1" Type="http://schemas.openxmlformats.org/officeDocument/2006/relationships/hyperlink" Target="https://www.qhrc.qld.gov.au/__data/assets/pdf_file/0006/56499/Queensland-Human-Rights-Commission-Annual-Report-2024-25.pdf" TargetMode="External"/><Relationship Id="rId6" Type="http://schemas.openxmlformats.org/officeDocument/2006/relationships/hyperlink" Target="https://www.humanrights.vic.gov.au/for-organisations/positive-duty/" TargetMode="External"/><Relationship Id="rId11" Type="http://schemas.openxmlformats.org/officeDocument/2006/relationships/hyperlink" Target="https://www.education.gov.au/disability-standards-education-2005/consultations/2025-review-disability-standards-education-consultation" TargetMode="External"/><Relationship Id="rId5" Type="http://schemas.openxmlformats.org/officeDocument/2006/relationships/hyperlink" Target="https://www.legalaid.qld.gov.au/files/assets/public/v/6/about-us/scale-of-fees/laq_00081-scale-of-fees-civil-law.pdf" TargetMode="External"/><Relationship Id="rId15" Type="http://schemas.openxmlformats.org/officeDocument/2006/relationships/hyperlink" Target="https://static1.squarespace.com/static/660249bd40e1686fe5cab7d1/t/68e85848401e4b7ec625a767/1760057416262/Human+Rights+Acts+from+Whitlam+to+Now+%5BOnline+Copy%5D.pdf" TargetMode="External"/><Relationship Id="rId10" Type="http://schemas.openxmlformats.org/officeDocument/2006/relationships/hyperlink" Target="https://qai.org.au/wp-content/uploads/2021/04/2020-Review-of-the-Disability-Standards-for-Education-to-DESE-Sep-2020.pdf" TargetMode="External"/><Relationship Id="rId4" Type="http://schemas.openxmlformats.org/officeDocument/2006/relationships/hyperlink" Target="https://qai.org.au/hate-wont-wait-dont-delay-anti-discrimination-reforms/" TargetMode="External"/><Relationship Id="rId9" Type="http://schemas.openxmlformats.org/officeDocument/2006/relationships/hyperlink" Target="https://qai.org.au/wp-content/uploads/2025/07/Assistance-Animal-National-Principles-May-2025.pdf" TargetMode="External"/><Relationship Id="rId14" Type="http://schemas.openxmlformats.org/officeDocument/2006/relationships/hyperlink" Target="https://wwda.org.au/our-resources/publication/strengthening-protection-of-the-rights-of-people-with-disability-through-a-national-human-rights-act-h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DeCocqVanDelw\AppData\Local\Microsoft\Windows\INetCache\Content.Outlook\UATP3LJU\QID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459a40-6e34-430e-9c35-374e313ec46c" xsi:nil="true"/>
    <lcf76f155ced4ddcb4097134ff3c332f xmlns="e8580fbf-fecb-4fba-8dba-8b20d897af13">
      <Terms xmlns="http://schemas.microsoft.com/office/infopath/2007/PartnerControls"/>
    </lcf76f155ced4ddcb4097134ff3c332f>
    <SharedWithUsers xmlns="5f459a40-6e34-430e-9c35-374e313ec4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0917138DAA0A45AE1E2D3F2F9502BA" ma:contentTypeVersion="17" ma:contentTypeDescription="Create a new document." ma:contentTypeScope="" ma:versionID="fcf2217ceca3a07531b328de2ebb648b">
  <xsd:schema xmlns:xsd="http://www.w3.org/2001/XMLSchema" xmlns:xs="http://www.w3.org/2001/XMLSchema" xmlns:p="http://schemas.microsoft.com/office/2006/metadata/properties" xmlns:ns2="e8580fbf-fecb-4fba-8dba-8b20d897af13" xmlns:ns3="5f459a40-6e34-430e-9c35-374e313ec46c" targetNamespace="http://schemas.microsoft.com/office/2006/metadata/properties" ma:root="true" ma:fieldsID="7018830afd46c9ca36dc8fd8fcc80237" ns2:_="" ns3:_="">
    <xsd:import namespace="e8580fbf-fecb-4fba-8dba-8b20d897af13"/>
    <xsd:import namespace="5f459a40-6e34-430e-9c35-374e313ec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0fbf-fecb-4fba-8dba-8b20d897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59a40-6e34-430e-9c35-374e313ec4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0d6bec-2097-4e28-9dee-d802665faa3c}" ma:internalName="TaxCatchAll" ma:showField="CatchAllData" ma:web="5f459a40-6e34-430e-9c35-374e313ec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81822-521D-4E44-889A-F3D302B0C237}">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f459a40-6e34-430e-9c35-374e313ec46c"/>
    <ds:schemaRef ds:uri="e8580fbf-fecb-4fba-8dba-8b20d897af13"/>
  </ds:schemaRefs>
</ds:datastoreItem>
</file>

<file path=customXml/itemProps2.xml><?xml version="1.0" encoding="utf-8"?>
<ds:datastoreItem xmlns:ds="http://schemas.openxmlformats.org/officeDocument/2006/customXml" ds:itemID="{35B0A2DE-A80A-4EF5-982C-64966748CE4E}">
  <ds:schemaRefs>
    <ds:schemaRef ds:uri="http://schemas.microsoft.com/sharepoint/v3/contenttype/forms"/>
  </ds:schemaRefs>
</ds:datastoreItem>
</file>

<file path=customXml/itemProps3.xml><?xml version="1.0" encoding="utf-8"?>
<ds:datastoreItem xmlns:ds="http://schemas.openxmlformats.org/officeDocument/2006/customXml" ds:itemID="{F1855FCE-94CA-4FC3-92BB-A80A5BDB76CB}">
  <ds:schemaRefs>
    <ds:schemaRef ds:uri="http://schemas.openxmlformats.org/officeDocument/2006/bibliography"/>
  </ds:schemaRefs>
</ds:datastoreItem>
</file>

<file path=customXml/itemProps4.xml><?xml version="1.0" encoding="utf-8"?>
<ds:datastoreItem xmlns:ds="http://schemas.openxmlformats.org/officeDocument/2006/customXml" ds:itemID="{4C5A84FA-629C-429A-A125-21277C7C7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0fbf-fecb-4fba-8dba-8b20d897af13"/>
    <ds:schemaRef ds:uri="5f459a40-6e34-430e-9c35-374e313ec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QIDAN Report</Template>
  <TotalTime>1</TotalTime>
  <Pages>35</Pages>
  <Words>9680</Words>
  <Characters>55179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64730</CharactersWithSpaces>
  <SharedDoc>false</SharedDoc>
  <HLinks>
    <vt:vector size="186" baseType="variant">
      <vt:variant>
        <vt:i4>196630</vt:i4>
      </vt:variant>
      <vt:variant>
        <vt:i4>81</vt:i4>
      </vt:variant>
      <vt:variant>
        <vt:i4>0</vt:i4>
      </vt:variant>
      <vt:variant>
        <vt:i4>5</vt:i4>
      </vt:variant>
      <vt:variant>
        <vt:lpwstr>https://www.publications.qld.gov.au/dataset/anti-discrimination-bill-2024-consultation/resource/f6e7fb8e-ec58-4b7f-aab2-5788ad9f3fb2</vt:lpwstr>
      </vt:variant>
      <vt:variant>
        <vt:lpwstr/>
      </vt:variant>
      <vt:variant>
        <vt:i4>6815797</vt:i4>
      </vt:variant>
      <vt:variant>
        <vt:i4>78</vt:i4>
      </vt:variant>
      <vt:variant>
        <vt:i4>0</vt:i4>
      </vt:variant>
      <vt:variant>
        <vt:i4>5</vt:i4>
      </vt:variant>
      <vt:variant>
        <vt:lpwstr>https://qai.org.au/wp-content/uploads/2024/07/Economic-cost-of-suspensions-for-students-with-disability-full-documentation.pdf</vt:lpwstr>
      </vt:variant>
      <vt:variant>
        <vt:lpwstr/>
      </vt:variant>
      <vt:variant>
        <vt:i4>7274595</vt:i4>
      </vt:variant>
      <vt:variant>
        <vt:i4>75</vt:i4>
      </vt:variant>
      <vt:variant>
        <vt:i4>0</vt:i4>
      </vt:variant>
      <vt:variant>
        <vt:i4>5</vt:i4>
      </vt:variant>
      <vt:variant>
        <vt:lpwstr>https://documents.parliament.qld.gov.au/tableoffice/questionsanswers/2025/903-2025.pdf</vt:lpwstr>
      </vt:variant>
      <vt:variant>
        <vt:lpwstr/>
      </vt:variant>
      <vt:variant>
        <vt:i4>327747</vt:i4>
      </vt:variant>
      <vt:variant>
        <vt:i4>72</vt:i4>
      </vt:variant>
      <vt:variant>
        <vt:i4>0</vt:i4>
      </vt:variant>
      <vt:variant>
        <vt:i4>5</vt:i4>
      </vt:variant>
      <vt:variant>
        <vt:lpwstr>https://qai.org.au/wp-content/uploads/2024/07/Economic-cost-of-suspensions-for-students-with-disability-findings-summary.pdf</vt:lpwstr>
      </vt:variant>
      <vt:variant>
        <vt:lpwstr/>
      </vt:variant>
      <vt:variant>
        <vt:i4>4915288</vt:i4>
      </vt:variant>
      <vt:variant>
        <vt:i4>69</vt:i4>
      </vt:variant>
      <vt:variant>
        <vt:i4>0</vt:i4>
      </vt:variant>
      <vt:variant>
        <vt:i4>5</vt:i4>
      </vt:variant>
      <vt:variant>
        <vt:lpwstr>https://www.arighttolearn.com.au/</vt:lpwstr>
      </vt:variant>
      <vt:variant>
        <vt:lpwstr/>
      </vt:variant>
      <vt:variant>
        <vt:i4>1245233</vt:i4>
      </vt:variant>
      <vt:variant>
        <vt:i4>62</vt:i4>
      </vt:variant>
      <vt:variant>
        <vt:i4>0</vt:i4>
      </vt:variant>
      <vt:variant>
        <vt:i4>5</vt:i4>
      </vt:variant>
      <vt:variant>
        <vt:lpwstr/>
      </vt:variant>
      <vt:variant>
        <vt:lpwstr>_Toc212195810</vt:lpwstr>
      </vt:variant>
      <vt:variant>
        <vt:i4>1179697</vt:i4>
      </vt:variant>
      <vt:variant>
        <vt:i4>56</vt:i4>
      </vt:variant>
      <vt:variant>
        <vt:i4>0</vt:i4>
      </vt:variant>
      <vt:variant>
        <vt:i4>5</vt:i4>
      </vt:variant>
      <vt:variant>
        <vt:lpwstr/>
      </vt:variant>
      <vt:variant>
        <vt:lpwstr>_Toc212195809</vt:lpwstr>
      </vt:variant>
      <vt:variant>
        <vt:i4>1179697</vt:i4>
      </vt:variant>
      <vt:variant>
        <vt:i4>50</vt:i4>
      </vt:variant>
      <vt:variant>
        <vt:i4>0</vt:i4>
      </vt:variant>
      <vt:variant>
        <vt:i4>5</vt:i4>
      </vt:variant>
      <vt:variant>
        <vt:lpwstr/>
      </vt:variant>
      <vt:variant>
        <vt:lpwstr>_Toc212195808</vt:lpwstr>
      </vt:variant>
      <vt:variant>
        <vt:i4>1179697</vt:i4>
      </vt:variant>
      <vt:variant>
        <vt:i4>44</vt:i4>
      </vt:variant>
      <vt:variant>
        <vt:i4>0</vt:i4>
      </vt:variant>
      <vt:variant>
        <vt:i4>5</vt:i4>
      </vt:variant>
      <vt:variant>
        <vt:lpwstr/>
      </vt:variant>
      <vt:variant>
        <vt:lpwstr>_Toc212195807</vt:lpwstr>
      </vt:variant>
      <vt:variant>
        <vt:i4>1179697</vt:i4>
      </vt:variant>
      <vt:variant>
        <vt:i4>38</vt:i4>
      </vt:variant>
      <vt:variant>
        <vt:i4>0</vt:i4>
      </vt:variant>
      <vt:variant>
        <vt:i4>5</vt:i4>
      </vt:variant>
      <vt:variant>
        <vt:lpwstr/>
      </vt:variant>
      <vt:variant>
        <vt:lpwstr>_Toc212195806</vt:lpwstr>
      </vt:variant>
      <vt:variant>
        <vt:i4>1179697</vt:i4>
      </vt:variant>
      <vt:variant>
        <vt:i4>32</vt:i4>
      </vt:variant>
      <vt:variant>
        <vt:i4>0</vt:i4>
      </vt:variant>
      <vt:variant>
        <vt:i4>5</vt:i4>
      </vt:variant>
      <vt:variant>
        <vt:lpwstr/>
      </vt:variant>
      <vt:variant>
        <vt:lpwstr>_Toc212195805</vt:lpwstr>
      </vt:variant>
      <vt:variant>
        <vt:i4>1179697</vt:i4>
      </vt:variant>
      <vt:variant>
        <vt:i4>26</vt:i4>
      </vt:variant>
      <vt:variant>
        <vt:i4>0</vt:i4>
      </vt:variant>
      <vt:variant>
        <vt:i4>5</vt:i4>
      </vt:variant>
      <vt:variant>
        <vt:lpwstr/>
      </vt:variant>
      <vt:variant>
        <vt:lpwstr>_Toc212195804</vt:lpwstr>
      </vt:variant>
      <vt:variant>
        <vt:i4>1179697</vt:i4>
      </vt:variant>
      <vt:variant>
        <vt:i4>20</vt:i4>
      </vt:variant>
      <vt:variant>
        <vt:i4>0</vt:i4>
      </vt:variant>
      <vt:variant>
        <vt:i4>5</vt:i4>
      </vt:variant>
      <vt:variant>
        <vt:lpwstr/>
      </vt:variant>
      <vt:variant>
        <vt:lpwstr>_Toc212195803</vt:lpwstr>
      </vt:variant>
      <vt:variant>
        <vt:i4>1179697</vt:i4>
      </vt:variant>
      <vt:variant>
        <vt:i4>14</vt:i4>
      </vt:variant>
      <vt:variant>
        <vt:i4>0</vt:i4>
      </vt:variant>
      <vt:variant>
        <vt:i4>5</vt:i4>
      </vt:variant>
      <vt:variant>
        <vt:lpwstr/>
      </vt:variant>
      <vt:variant>
        <vt:lpwstr>_Toc212195802</vt:lpwstr>
      </vt:variant>
      <vt:variant>
        <vt:i4>1179697</vt:i4>
      </vt:variant>
      <vt:variant>
        <vt:i4>8</vt:i4>
      </vt:variant>
      <vt:variant>
        <vt:i4>0</vt:i4>
      </vt:variant>
      <vt:variant>
        <vt:i4>5</vt:i4>
      </vt:variant>
      <vt:variant>
        <vt:lpwstr/>
      </vt:variant>
      <vt:variant>
        <vt:lpwstr>_Toc212195801</vt:lpwstr>
      </vt:variant>
      <vt:variant>
        <vt:i4>1179697</vt:i4>
      </vt:variant>
      <vt:variant>
        <vt:i4>2</vt:i4>
      </vt:variant>
      <vt:variant>
        <vt:i4>0</vt:i4>
      </vt:variant>
      <vt:variant>
        <vt:i4>5</vt:i4>
      </vt:variant>
      <vt:variant>
        <vt:lpwstr/>
      </vt:variant>
      <vt:variant>
        <vt:lpwstr>_Toc212195800</vt:lpwstr>
      </vt:variant>
      <vt:variant>
        <vt:i4>262229</vt:i4>
      </vt:variant>
      <vt:variant>
        <vt:i4>42</vt:i4>
      </vt:variant>
      <vt:variant>
        <vt:i4>0</vt:i4>
      </vt:variant>
      <vt:variant>
        <vt:i4>5</vt:i4>
      </vt:variant>
      <vt:variant>
        <vt:lpwstr>https://static1.squarespace.com/static/660249bd40e1686fe5cab7d1/t/68e85848401e4b7ec625a767/1760057416262/Human+Rights+Acts+from+Whitlam+to+Now+%5BOnline+Copy%5D.pdf</vt:lpwstr>
      </vt:variant>
      <vt:variant>
        <vt:lpwstr/>
      </vt:variant>
      <vt:variant>
        <vt:i4>3670079</vt:i4>
      </vt:variant>
      <vt:variant>
        <vt:i4>39</vt:i4>
      </vt:variant>
      <vt:variant>
        <vt:i4>0</vt:i4>
      </vt:variant>
      <vt:variant>
        <vt:i4>5</vt:i4>
      </vt:variant>
      <vt:variant>
        <vt:lpwstr>https://wwda.org.au/our-resources/publication/strengthening-protection-of-the-rights-of-people-with-disability-through-a-national-human-rights-act-hra/</vt:lpwstr>
      </vt:variant>
      <vt:variant>
        <vt:lpwstr/>
      </vt:variant>
      <vt:variant>
        <vt:i4>5373963</vt:i4>
      </vt:variant>
      <vt:variant>
        <vt:i4>36</vt:i4>
      </vt:variant>
      <vt:variant>
        <vt:i4>0</vt:i4>
      </vt:variant>
      <vt:variant>
        <vt:i4>5</vt:i4>
      </vt:variant>
      <vt:variant>
        <vt:lpwstr>https://www.qhrc.qld.gov.au/about-us/reviews/ada</vt:lpwstr>
      </vt:variant>
      <vt:variant>
        <vt:lpwstr/>
      </vt:variant>
      <vt:variant>
        <vt:i4>3997814</vt:i4>
      </vt:variant>
      <vt:variant>
        <vt:i4>33</vt:i4>
      </vt:variant>
      <vt:variant>
        <vt:i4>0</vt:i4>
      </vt:variant>
      <vt:variant>
        <vt:i4>5</vt:i4>
      </vt:variant>
      <vt:variant>
        <vt:lpwstr>https://qai.org.au/wp-content/uploads/2021/12/Disability-Standards-for-Accessible-Public-Transport-Jan-2019.pdf</vt:lpwstr>
      </vt:variant>
      <vt:variant>
        <vt:lpwstr/>
      </vt:variant>
      <vt:variant>
        <vt:i4>7274531</vt:i4>
      </vt:variant>
      <vt:variant>
        <vt:i4>30</vt:i4>
      </vt:variant>
      <vt:variant>
        <vt:i4>0</vt:i4>
      </vt:variant>
      <vt:variant>
        <vt:i4>5</vt:i4>
      </vt:variant>
      <vt:variant>
        <vt:lpwstr>https://www.education.gov.au/disability-standards-education-2005/consultations/2025-review-disability-standards-education-consultation</vt:lpwstr>
      </vt:variant>
      <vt:variant>
        <vt:lpwstr/>
      </vt:variant>
      <vt:variant>
        <vt:i4>786503</vt:i4>
      </vt:variant>
      <vt:variant>
        <vt:i4>27</vt:i4>
      </vt:variant>
      <vt:variant>
        <vt:i4>0</vt:i4>
      </vt:variant>
      <vt:variant>
        <vt:i4>5</vt:i4>
      </vt:variant>
      <vt:variant>
        <vt:lpwstr>https://qai.org.au/wp-content/uploads/2021/04/2020-Review-of-the-Disability-Standards-for-Education-to-DESE-Sep-2020.pdf</vt:lpwstr>
      </vt:variant>
      <vt:variant>
        <vt:lpwstr/>
      </vt:variant>
      <vt:variant>
        <vt:i4>983117</vt:i4>
      </vt:variant>
      <vt:variant>
        <vt:i4>24</vt:i4>
      </vt:variant>
      <vt:variant>
        <vt:i4>0</vt:i4>
      </vt:variant>
      <vt:variant>
        <vt:i4>5</vt:i4>
      </vt:variant>
      <vt:variant>
        <vt:lpwstr>https://qai.org.au/wp-content/uploads/2025/07/Assistance-Animal-National-Principles-May-2025.pdf</vt:lpwstr>
      </vt:variant>
      <vt:variant>
        <vt:lpwstr/>
      </vt:variant>
      <vt:variant>
        <vt:i4>3735589</vt:i4>
      </vt:variant>
      <vt:variant>
        <vt:i4>21</vt:i4>
      </vt:variant>
      <vt:variant>
        <vt:i4>0</vt:i4>
      </vt:variant>
      <vt:variant>
        <vt:i4>5</vt:i4>
      </vt:variant>
      <vt:variant>
        <vt:lpwstr>https://www.welcomingdisability.com/materials-for-learning</vt:lpwstr>
      </vt:variant>
      <vt:variant>
        <vt:lpwstr/>
      </vt:variant>
      <vt:variant>
        <vt:i4>5505036</vt:i4>
      </vt:variant>
      <vt:variant>
        <vt:i4>18</vt:i4>
      </vt:variant>
      <vt:variant>
        <vt:i4>0</vt:i4>
      </vt:variant>
      <vt:variant>
        <vt:i4>5</vt:i4>
      </vt:variant>
      <vt:variant>
        <vt:lpwstr>https://www.qfcc.qld.gov.au/sites/default/files/2025-09/Report-Include-me-dont-exclude-me.pdf</vt:lpwstr>
      </vt:variant>
      <vt:variant>
        <vt:lpwstr/>
      </vt:variant>
      <vt:variant>
        <vt:i4>2687096</vt:i4>
      </vt:variant>
      <vt:variant>
        <vt:i4>15</vt:i4>
      </vt:variant>
      <vt:variant>
        <vt:i4>0</vt:i4>
      </vt:variant>
      <vt:variant>
        <vt:i4>5</vt:i4>
      </vt:variant>
      <vt:variant>
        <vt:lpwstr>https://www.humanrights.vic.gov.au/for-organisations/positive-duty/</vt:lpwstr>
      </vt:variant>
      <vt:variant>
        <vt:lpwstr/>
      </vt:variant>
      <vt:variant>
        <vt:i4>35</vt:i4>
      </vt:variant>
      <vt:variant>
        <vt:i4>12</vt:i4>
      </vt:variant>
      <vt:variant>
        <vt:i4>0</vt:i4>
      </vt:variant>
      <vt:variant>
        <vt:i4>5</vt:i4>
      </vt:variant>
      <vt:variant>
        <vt:lpwstr>https://www.legalaid.qld.gov.au/files/assets/public/v/6/about-us/scale-of-fees/laq_00081-scale-of-fees-civil-law.pdf</vt:lpwstr>
      </vt:variant>
      <vt:variant>
        <vt:lpwstr/>
      </vt:variant>
      <vt:variant>
        <vt:i4>4521989</vt:i4>
      </vt:variant>
      <vt:variant>
        <vt:i4>9</vt:i4>
      </vt:variant>
      <vt:variant>
        <vt:i4>0</vt:i4>
      </vt:variant>
      <vt:variant>
        <vt:i4>5</vt:i4>
      </vt:variant>
      <vt:variant>
        <vt:lpwstr>https://qai.org.au/hate-wont-wait-dont-delay-anti-discrimination-reforms/</vt:lpwstr>
      </vt:variant>
      <vt:variant>
        <vt:lpwstr/>
      </vt:variant>
      <vt:variant>
        <vt:i4>7209014</vt:i4>
      </vt:variant>
      <vt:variant>
        <vt:i4>6</vt:i4>
      </vt:variant>
      <vt:variant>
        <vt:i4>0</vt:i4>
      </vt:variant>
      <vt:variant>
        <vt:i4>5</vt:i4>
      </vt:variant>
      <vt:variant>
        <vt:lpwstr>https://statements.qld.gov.au/statements/102168</vt:lpwstr>
      </vt:variant>
      <vt:variant>
        <vt:lpwstr/>
      </vt:variant>
      <vt:variant>
        <vt:i4>5373963</vt:i4>
      </vt:variant>
      <vt:variant>
        <vt:i4>3</vt:i4>
      </vt:variant>
      <vt:variant>
        <vt:i4>0</vt:i4>
      </vt:variant>
      <vt:variant>
        <vt:i4>5</vt:i4>
      </vt:variant>
      <vt:variant>
        <vt:lpwstr>https://www.qhrc.qld.gov.au/about-us/reviews/ada</vt:lpwstr>
      </vt:variant>
      <vt:variant>
        <vt:lpwstr/>
      </vt:variant>
      <vt:variant>
        <vt:i4>2293773</vt:i4>
      </vt:variant>
      <vt:variant>
        <vt:i4>0</vt:i4>
      </vt:variant>
      <vt:variant>
        <vt:i4>0</vt:i4>
      </vt:variant>
      <vt:variant>
        <vt:i4>5</vt:i4>
      </vt:variant>
      <vt:variant>
        <vt:lpwstr>https://www.qhrc.qld.gov.au/__data/assets/pdf_file/0006/56499/Queensland-Human-Rights-Commission-Annual-Report-2024-25.pdf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 Cocq Van Delwijnen</dc:creator>
  <cp:keywords/>
  <dc:description/>
  <cp:lastModifiedBy>Russel Correa</cp:lastModifiedBy>
  <cp:revision>2</cp:revision>
  <cp:lastPrinted>2025-10-31T05:29:00Z</cp:lastPrinted>
  <dcterms:created xsi:type="dcterms:W3CDTF">2025-11-06T00:47:00Z</dcterms:created>
  <dcterms:modified xsi:type="dcterms:W3CDTF">2025-11-06T00:47:00Z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0x010100F60917138DAA0A45AE1E2D3F2F9502BA</vt:lpwstr>
  </property>
  <property fmtid="{D5CDD505-2E9C-101B-9397-08002B2CF9AE}" pid="3" name="MediaServiceImageTags">
    <vt:lpwstr/>
  </property>
  <property fmtid="{D5CDD505-2E9C-101B-9397-08002B2CF9AE}" pid="4" name="Order">
    <vt:r8>19941900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9f18abef-21cc-4003-a0fa-e48e578d8b07</vt:lpwstr>
  </property>
</Properties>
</file>