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6612" w14:textId="77777777" w:rsidR="00C8226E" w:rsidRPr="004601F1" w:rsidRDefault="00C8226E" w:rsidP="00E55601">
      <w:pPr>
        <w:jc w:val="right"/>
        <w:rPr>
          <w:rFonts w:ascii="Nunito Sans" w:hAnsi="Nunito Sans"/>
          <w:sz w:val="20"/>
          <w:szCs w:val="20"/>
          <w:lang w:val="en-AU"/>
        </w:rPr>
      </w:pPr>
    </w:p>
    <w:p w14:paraId="0FE1B7C1" w14:textId="77777777" w:rsidR="003A4839" w:rsidRPr="004601F1" w:rsidRDefault="003A4839" w:rsidP="00E55601">
      <w:pPr>
        <w:jc w:val="right"/>
        <w:rPr>
          <w:rFonts w:ascii="Nunito Sans" w:hAnsi="Nunito Sans"/>
          <w:sz w:val="20"/>
          <w:szCs w:val="20"/>
          <w:lang w:val="en-AU"/>
        </w:rPr>
      </w:pPr>
    </w:p>
    <w:p w14:paraId="61531A4A" w14:textId="77777777" w:rsidR="003A4839" w:rsidRPr="004601F1" w:rsidRDefault="003A4839" w:rsidP="00E55601">
      <w:pPr>
        <w:jc w:val="right"/>
        <w:rPr>
          <w:rFonts w:ascii="Nunito Sans" w:hAnsi="Nunito Sans"/>
          <w:sz w:val="20"/>
          <w:szCs w:val="20"/>
          <w:lang w:val="en-AU"/>
        </w:rPr>
      </w:pPr>
    </w:p>
    <w:p w14:paraId="4C24650B" w14:textId="77777777" w:rsidR="004601F1" w:rsidRDefault="004601F1" w:rsidP="00E55601">
      <w:pPr>
        <w:jc w:val="right"/>
        <w:rPr>
          <w:rFonts w:ascii="Nunito Sans" w:hAnsi="Nunito Sans"/>
          <w:sz w:val="20"/>
          <w:szCs w:val="20"/>
          <w:lang w:val="en-AU"/>
        </w:rPr>
      </w:pPr>
    </w:p>
    <w:p w14:paraId="2B4540DF" w14:textId="77777777" w:rsidR="003A4839" w:rsidRPr="004601F1" w:rsidRDefault="003A4839" w:rsidP="00E55601">
      <w:pPr>
        <w:jc w:val="right"/>
        <w:rPr>
          <w:rFonts w:ascii="Nunito Sans" w:hAnsi="Nunito Sans"/>
          <w:sz w:val="20"/>
          <w:szCs w:val="20"/>
          <w:lang w:val="en-AU"/>
        </w:rPr>
      </w:pPr>
    </w:p>
    <w:p w14:paraId="1AD677BE" w14:textId="77777777" w:rsidR="003A4839" w:rsidRPr="004601F1" w:rsidRDefault="003A4839" w:rsidP="00E55601">
      <w:pPr>
        <w:jc w:val="right"/>
        <w:rPr>
          <w:rFonts w:ascii="Nunito Sans" w:hAnsi="Nunito Sans"/>
          <w:sz w:val="20"/>
          <w:szCs w:val="20"/>
          <w:lang w:val="en-AU"/>
        </w:rPr>
      </w:pPr>
    </w:p>
    <w:p w14:paraId="30BC6780" w14:textId="77777777" w:rsidR="003A4839" w:rsidRPr="004601F1" w:rsidRDefault="003A4839" w:rsidP="00E55601">
      <w:pPr>
        <w:jc w:val="right"/>
        <w:rPr>
          <w:rFonts w:ascii="Nunito Sans" w:hAnsi="Nunito Sans"/>
          <w:sz w:val="20"/>
          <w:szCs w:val="20"/>
          <w:lang w:val="en-AU"/>
        </w:rPr>
      </w:pPr>
    </w:p>
    <w:p w14:paraId="46DB6B2C" w14:textId="77777777" w:rsidR="003A4839" w:rsidRPr="004601F1" w:rsidRDefault="003A4839" w:rsidP="00E55601">
      <w:pPr>
        <w:jc w:val="right"/>
        <w:rPr>
          <w:rFonts w:ascii="Nunito Sans" w:hAnsi="Nunito Sans"/>
          <w:sz w:val="20"/>
          <w:szCs w:val="20"/>
          <w:lang w:val="en-AU"/>
        </w:rPr>
      </w:pPr>
    </w:p>
    <w:p w14:paraId="6AAB505F" w14:textId="2B099281" w:rsidR="003A4839" w:rsidRPr="004601F1" w:rsidRDefault="00A84B0A" w:rsidP="00A84B0A">
      <w:pPr>
        <w:tabs>
          <w:tab w:val="left" w:pos="7995"/>
        </w:tabs>
        <w:rPr>
          <w:rFonts w:ascii="Nunito Sans" w:hAnsi="Nunito Sans"/>
          <w:sz w:val="20"/>
          <w:szCs w:val="20"/>
          <w:lang w:val="en-AU"/>
        </w:rPr>
      </w:pPr>
      <w:r>
        <w:rPr>
          <w:rFonts w:ascii="Nunito Sans" w:hAnsi="Nunito Sans"/>
          <w:sz w:val="20"/>
          <w:szCs w:val="20"/>
          <w:lang w:val="en-AU"/>
        </w:rPr>
        <w:tab/>
      </w:r>
    </w:p>
    <w:p w14:paraId="4937411A" w14:textId="77777777" w:rsidR="003A4839" w:rsidRPr="004601F1" w:rsidRDefault="003A4839" w:rsidP="00E55601">
      <w:pPr>
        <w:jc w:val="right"/>
        <w:rPr>
          <w:rFonts w:ascii="Nunito Sans" w:hAnsi="Nunito Sans"/>
          <w:sz w:val="20"/>
          <w:szCs w:val="20"/>
          <w:lang w:val="en-AU"/>
        </w:rPr>
      </w:pPr>
    </w:p>
    <w:p w14:paraId="67C94E32" w14:textId="77777777" w:rsidR="003A4839" w:rsidRPr="004601F1" w:rsidRDefault="003A4839" w:rsidP="00E55601">
      <w:pPr>
        <w:jc w:val="right"/>
        <w:rPr>
          <w:rFonts w:ascii="Nunito Sans" w:hAnsi="Nunito Sans"/>
          <w:sz w:val="20"/>
          <w:szCs w:val="20"/>
          <w:lang w:val="en-AU"/>
        </w:rPr>
      </w:pPr>
    </w:p>
    <w:p w14:paraId="30C9C682" w14:textId="77777777" w:rsidR="003A4839" w:rsidRDefault="003A4839" w:rsidP="00E55601">
      <w:pPr>
        <w:jc w:val="right"/>
        <w:rPr>
          <w:rFonts w:ascii="Nunito Sans" w:hAnsi="Nunito Sans"/>
          <w:sz w:val="20"/>
          <w:szCs w:val="20"/>
          <w:lang w:val="en-AU"/>
        </w:rPr>
      </w:pPr>
    </w:p>
    <w:p w14:paraId="47D123BF" w14:textId="77777777" w:rsidR="00E55601" w:rsidRDefault="00E55601" w:rsidP="00E55601">
      <w:pPr>
        <w:jc w:val="right"/>
        <w:rPr>
          <w:rFonts w:ascii="Nunito Sans" w:hAnsi="Nunito Sans"/>
          <w:sz w:val="20"/>
          <w:szCs w:val="20"/>
          <w:lang w:val="en-AU"/>
        </w:rPr>
      </w:pPr>
    </w:p>
    <w:p w14:paraId="3D552AE8" w14:textId="77777777" w:rsidR="00E55601" w:rsidRDefault="00E55601" w:rsidP="00E55601">
      <w:pPr>
        <w:jc w:val="right"/>
        <w:rPr>
          <w:rFonts w:ascii="Nunito Sans" w:hAnsi="Nunito Sans"/>
          <w:sz w:val="20"/>
          <w:szCs w:val="20"/>
          <w:lang w:val="en-AU"/>
        </w:rPr>
      </w:pPr>
    </w:p>
    <w:p w14:paraId="075BDBEE" w14:textId="77777777" w:rsidR="00E55601" w:rsidRDefault="00E55601" w:rsidP="00E55601">
      <w:pPr>
        <w:jc w:val="right"/>
        <w:rPr>
          <w:rFonts w:ascii="Nunito Sans" w:hAnsi="Nunito Sans"/>
          <w:sz w:val="20"/>
          <w:szCs w:val="20"/>
          <w:lang w:val="en-AU"/>
        </w:rPr>
      </w:pPr>
    </w:p>
    <w:p w14:paraId="6A10DE2C" w14:textId="77777777" w:rsidR="00E55601" w:rsidRDefault="00E55601" w:rsidP="00E55601">
      <w:pPr>
        <w:jc w:val="right"/>
        <w:rPr>
          <w:rFonts w:ascii="Nunito Sans" w:hAnsi="Nunito Sans"/>
          <w:sz w:val="20"/>
          <w:szCs w:val="20"/>
          <w:lang w:val="en-AU"/>
        </w:rPr>
      </w:pPr>
    </w:p>
    <w:p w14:paraId="24283E57" w14:textId="77777777" w:rsidR="00E55601" w:rsidRDefault="00E55601" w:rsidP="00E55601">
      <w:pPr>
        <w:jc w:val="right"/>
        <w:rPr>
          <w:rFonts w:ascii="Nunito Sans" w:hAnsi="Nunito Sans"/>
          <w:sz w:val="20"/>
          <w:szCs w:val="20"/>
          <w:lang w:val="en-AU"/>
        </w:rPr>
      </w:pPr>
    </w:p>
    <w:p w14:paraId="36EC48DA" w14:textId="77777777" w:rsidR="00E55601" w:rsidRDefault="00E55601" w:rsidP="00E55601">
      <w:pPr>
        <w:jc w:val="right"/>
        <w:rPr>
          <w:rFonts w:ascii="Nunito Sans" w:hAnsi="Nunito Sans"/>
          <w:sz w:val="20"/>
          <w:szCs w:val="20"/>
          <w:lang w:val="en-AU"/>
        </w:rPr>
      </w:pPr>
    </w:p>
    <w:p w14:paraId="21B3A458" w14:textId="77777777" w:rsidR="00E55601" w:rsidRDefault="00E55601" w:rsidP="00E55601">
      <w:pPr>
        <w:jc w:val="right"/>
        <w:rPr>
          <w:rFonts w:ascii="Nunito Sans" w:hAnsi="Nunito Sans"/>
          <w:sz w:val="20"/>
          <w:szCs w:val="20"/>
          <w:lang w:val="en-AU"/>
        </w:rPr>
      </w:pPr>
    </w:p>
    <w:p w14:paraId="03B492F2" w14:textId="77777777" w:rsidR="00E55601" w:rsidRDefault="00E55601" w:rsidP="00E55601">
      <w:pPr>
        <w:jc w:val="right"/>
        <w:rPr>
          <w:rFonts w:ascii="Nunito Sans" w:hAnsi="Nunito Sans"/>
          <w:sz w:val="20"/>
          <w:szCs w:val="20"/>
          <w:lang w:val="en-AU"/>
        </w:rPr>
      </w:pPr>
    </w:p>
    <w:p w14:paraId="417612A0" w14:textId="77777777" w:rsidR="00E55601" w:rsidRDefault="00E55601" w:rsidP="00E55601">
      <w:pPr>
        <w:jc w:val="right"/>
        <w:rPr>
          <w:rFonts w:ascii="Nunito Sans" w:hAnsi="Nunito Sans"/>
          <w:sz w:val="20"/>
          <w:szCs w:val="20"/>
          <w:lang w:val="en-AU"/>
        </w:rPr>
      </w:pPr>
    </w:p>
    <w:p w14:paraId="69B54D41" w14:textId="77777777" w:rsidR="00E55601" w:rsidRDefault="00E55601" w:rsidP="00E55601">
      <w:pPr>
        <w:jc w:val="right"/>
        <w:rPr>
          <w:rFonts w:ascii="Nunito Sans" w:hAnsi="Nunito Sans"/>
          <w:sz w:val="20"/>
          <w:szCs w:val="20"/>
          <w:lang w:val="en-AU"/>
        </w:rPr>
      </w:pPr>
    </w:p>
    <w:p w14:paraId="6B619B3D" w14:textId="77777777" w:rsidR="00E55601" w:rsidRDefault="00E55601" w:rsidP="00E55601">
      <w:pPr>
        <w:jc w:val="right"/>
        <w:rPr>
          <w:rFonts w:ascii="Nunito Sans" w:hAnsi="Nunito Sans"/>
          <w:sz w:val="20"/>
          <w:szCs w:val="20"/>
          <w:lang w:val="en-AU"/>
        </w:rPr>
      </w:pPr>
    </w:p>
    <w:p w14:paraId="1A8D7131" w14:textId="77777777" w:rsidR="00E55601" w:rsidRDefault="00E55601" w:rsidP="00E55601">
      <w:pPr>
        <w:jc w:val="right"/>
        <w:rPr>
          <w:rFonts w:ascii="Nunito Sans" w:hAnsi="Nunito Sans"/>
          <w:sz w:val="20"/>
          <w:szCs w:val="20"/>
          <w:lang w:val="en-AU"/>
        </w:rPr>
      </w:pPr>
    </w:p>
    <w:p w14:paraId="3F3C2C5C" w14:textId="77777777" w:rsidR="00E55601" w:rsidRDefault="00E55601" w:rsidP="00E55601">
      <w:pPr>
        <w:jc w:val="right"/>
        <w:rPr>
          <w:rFonts w:ascii="Nunito Sans" w:hAnsi="Nunito Sans"/>
          <w:sz w:val="20"/>
          <w:szCs w:val="20"/>
          <w:lang w:val="en-AU"/>
        </w:rPr>
      </w:pPr>
    </w:p>
    <w:p w14:paraId="027E8ACF" w14:textId="77777777" w:rsidR="00E55601" w:rsidRDefault="00E55601" w:rsidP="00E55601">
      <w:pPr>
        <w:jc w:val="right"/>
        <w:rPr>
          <w:rFonts w:ascii="Nunito Sans" w:hAnsi="Nunito Sans"/>
          <w:sz w:val="20"/>
          <w:szCs w:val="20"/>
          <w:lang w:val="en-AU"/>
        </w:rPr>
      </w:pPr>
    </w:p>
    <w:p w14:paraId="4B9FE251" w14:textId="77777777" w:rsidR="00E55601" w:rsidRDefault="00E55601" w:rsidP="00E55601">
      <w:pPr>
        <w:jc w:val="right"/>
        <w:rPr>
          <w:rFonts w:ascii="Nunito Sans" w:hAnsi="Nunito Sans"/>
          <w:sz w:val="20"/>
          <w:szCs w:val="20"/>
          <w:lang w:val="en-AU"/>
        </w:rPr>
      </w:pPr>
    </w:p>
    <w:p w14:paraId="4FBA2354" w14:textId="77777777" w:rsidR="00E55601" w:rsidRDefault="00E55601" w:rsidP="00E55601">
      <w:pPr>
        <w:jc w:val="right"/>
        <w:rPr>
          <w:rFonts w:ascii="Nunito Sans" w:hAnsi="Nunito Sans"/>
          <w:sz w:val="20"/>
          <w:szCs w:val="20"/>
          <w:lang w:val="en-AU"/>
        </w:rPr>
      </w:pPr>
    </w:p>
    <w:p w14:paraId="32EA3F8F" w14:textId="77777777" w:rsidR="00E55601" w:rsidRDefault="00E55601" w:rsidP="00E55601">
      <w:pPr>
        <w:jc w:val="right"/>
        <w:rPr>
          <w:rFonts w:ascii="Nunito Sans" w:hAnsi="Nunito Sans"/>
          <w:sz w:val="20"/>
          <w:szCs w:val="20"/>
          <w:lang w:val="en-AU"/>
        </w:rPr>
      </w:pPr>
    </w:p>
    <w:p w14:paraId="5F9515F5" w14:textId="77777777" w:rsidR="00E55601" w:rsidRDefault="00E55601" w:rsidP="00E55601">
      <w:pPr>
        <w:jc w:val="right"/>
        <w:rPr>
          <w:rFonts w:ascii="Nunito Sans" w:hAnsi="Nunito Sans"/>
          <w:sz w:val="20"/>
          <w:szCs w:val="20"/>
          <w:lang w:val="en-AU"/>
        </w:rPr>
      </w:pPr>
    </w:p>
    <w:p w14:paraId="75783D01" w14:textId="77777777" w:rsidR="00E55601" w:rsidRDefault="00E55601" w:rsidP="00E55601">
      <w:pPr>
        <w:jc w:val="right"/>
        <w:rPr>
          <w:rFonts w:ascii="Nunito Sans" w:hAnsi="Nunito Sans"/>
          <w:sz w:val="20"/>
          <w:szCs w:val="20"/>
          <w:lang w:val="en-AU"/>
        </w:rPr>
      </w:pPr>
    </w:p>
    <w:p w14:paraId="20C949E0" w14:textId="77777777" w:rsidR="00E55601" w:rsidRDefault="00E55601" w:rsidP="00E55601">
      <w:pPr>
        <w:jc w:val="right"/>
        <w:rPr>
          <w:rFonts w:ascii="Nunito Sans" w:hAnsi="Nunito Sans"/>
          <w:sz w:val="20"/>
          <w:szCs w:val="20"/>
          <w:lang w:val="en-AU"/>
        </w:rPr>
      </w:pPr>
    </w:p>
    <w:p w14:paraId="28EC82E7" w14:textId="6B794B51" w:rsidR="00E55601" w:rsidRPr="006F7DD7" w:rsidRDefault="00BF1E08" w:rsidP="00F11451">
      <w:pPr>
        <w:rPr>
          <w:rFonts w:ascii="Poppins SemiBold" w:hAnsi="Poppins SemiBold" w:cs="Poppins SemiBold"/>
          <w:b/>
          <w:bCs/>
          <w:color w:val="FFFFFF" w:themeColor="background1"/>
          <w:sz w:val="72"/>
          <w:szCs w:val="72"/>
          <w:lang w:val="en-AU"/>
        </w:rPr>
      </w:pPr>
      <w:r>
        <w:rPr>
          <w:rFonts w:ascii="Poppins SemiBold" w:hAnsi="Poppins SemiBold" w:cs="Poppins SemiBold"/>
          <w:b/>
          <w:bCs/>
          <w:color w:val="FFFFFF" w:themeColor="background1"/>
          <w:sz w:val="72"/>
          <w:szCs w:val="72"/>
          <w:lang w:val="en-AU"/>
        </w:rPr>
        <w:t xml:space="preserve">QIDAN Response to </w:t>
      </w:r>
      <w:r w:rsidR="006F7DD7">
        <w:rPr>
          <w:rFonts w:ascii="Poppins SemiBold" w:hAnsi="Poppins SemiBold" w:cs="Poppins SemiBold"/>
          <w:b/>
          <w:bCs/>
          <w:color w:val="FFFFFF" w:themeColor="background1"/>
          <w:sz w:val="72"/>
          <w:szCs w:val="72"/>
          <w:lang w:val="en-AU"/>
        </w:rPr>
        <w:t>the Disability Safeguards Consultation</w:t>
      </w:r>
      <w:r w:rsidR="0089131E">
        <w:rPr>
          <w:rFonts w:ascii="Poppins SemiBold" w:hAnsi="Poppins SemiBold" w:cs="Poppins SemiBold"/>
          <w:b/>
          <w:bCs/>
          <w:color w:val="FFFFFF" w:themeColor="background1"/>
          <w:sz w:val="72"/>
          <w:szCs w:val="72"/>
          <w:lang w:val="en-AU"/>
        </w:rPr>
        <w:t xml:space="preserve"> Paper</w:t>
      </w:r>
    </w:p>
    <w:p w14:paraId="1466ABEA" w14:textId="19ADCC30" w:rsidR="00E55601" w:rsidRDefault="00A32BF3" w:rsidP="00F11451">
      <w:pPr>
        <w:rPr>
          <w:rFonts w:ascii="Nunito Sans" w:hAnsi="Nunito Sans"/>
          <w:color w:val="FFFFFF" w:themeColor="background1"/>
          <w:sz w:val="30"/>
          <w:szCs w:val="30"/>
          <w:lang w:val="en-US"/>
        </w:rPr>
      </w:pPr>
      <w:r>
        <w:rPr>
          <w:rFonts w:ascii="Nunito Sans" w:hAnsi="Nunito Sans"/>
          <w:color w:val="FFFFFF" w:themeColor="background1"/>
          <w:sz w:val="30"/>
          <w:szCs w:val="30"/>
          <w:lang w:val="en-US"/>
        </w:rPr>
        <w:t>To the Department of Health, Disability and Ageing</w:t>
      </w:r>
    </w:p>
    <w:p w14:paraId="74DEB56F" w14:textId="77777777" w:rsidR="00A32BF3" w:rsidRDefault="00A32BF3" w:rsidP="00F11451">
      <w:pPr>
        <w:rPr>
          <w:rFonts w:ascii="Nunito Sans" w:hAnsi="Nunito Sans"/>
          <w:color w:val="FFFFFF" w:themeColor="background1"/>
          <w:lang w:val="en-US"/>
        </w:rPr>
      </w:pPr>
    </w:p>
    <w:p w14:paraId="41DDFB3C" w14:textId="5080B64E" w:rsidR="00E55601" w:rsidRDefault="006F7DD7" w:rsidP="00F11451">
      <w:pPr>
        <w:rPr>
          <w:rFonts w:ascii="Nunito Sans" w:hAnsi="Nunito Sans"/>
          <w:color w:val="FFFFFF" w:themeColor="background1"/>
          <w:lang w:val="en-US"/>
        </w:rPr>
      </w:pPr>
      <w:r>
        <w:rPr>
          <w:rFonts w:ascii="Nunito Sans" w:hAnsi="Nunito Sans"/>
          <w:color w:val="FFFFFF" w:themeColor="background1"/>
          <w:lang w:val="en-US"/>
        </w:rPr>
        <w:t>December 2025</w:t>
      </w:r>
    </w:p>
    <w:p w14:paraId="7BFC14B8" w14:textId="77777777" w:rsidR="002C77FC" w:rsidRDefault="002C77FC" w:rsidP="00F11451">
      <w:pPr>
        <w:rPr>
          <w:rFonts w:ascii="Nunito Sans" w:hAnsi="Nunito Sans"/>
          <w:color w:val="FFFFFF" w:themeColor="background1"/>
          <w:lang w:val="en-US"/>
        </w:rPr>
      </w:pPr>
    </w:p>
    <w:p w14:paraId="10B3D494" w14:textId="77777777" w:rsidR="002C77FC" w:rsidRDefault="002C77FC" w:rsidP="00E55601">
      <w:pPr>
        <w:jc w:val="right"/>
        <w:rPr>
          <w:rFonts w:ascii="Nunito Sans" w:hAnsi="Nunito Sans"/>
          <w:color w:val="FFFFFF" w:themeColor="background1"/>
          <w:lang w:val="en-US"/>
        </w:rPr>
      </w:pPr>
    </w:p>
    <w:p w14:paraId="5DEEDD73" w14:textId="77777777" w:rsidR="002C77FC" w:rsidRDefault="002C77FC" w:rsidP="00E55601">
      <w:pPr>
        <w:jc w:val="right"/>
        <w:rPr>
          <w:rFonts w:ascii="Nunito Sans" w:hAnsi="Nunito Sans"/>
          <w:color w:val="FFFFFF" w:themeColor="background1"/>
          <w:lang w:val="en-US"/>
        </w:rPr>
      </w:pPr>
    </w:p>
    <w:sdt>
      <w:sdtPr>
        <w:rPr>
          <w:rFonts w:ascii="Nunito" w:eastAsiaTheme="minorEastAsia" w:hAnsi="Nunito" w:cstheme="minorBidi"/>
          <w:color w:val="auto"/>
          <w:kern w:val="2"/>
          <w:sz w:val="24"/>
          <w:szCs w:val="24"/>
          <w:lang w:val="en-AU"/>
          <w14:ligatures w14:val="standardContextual"/>
        </w:rPr>
        <w:id w:val="1041479077"/>
        <w:docPartObj>
          <w:docPartGallery w:val="Table of Contents"/>
          <w:docPartUnique/>
        </w:docPartObj>
      </w:sdtPr>
      <w:sdtEndPr>
        <w:rPr>
          <w:rFonts w:asciiTheme="minorHAnsi" w:hAnsiTheme="minorHAnsi"/>
          <w:b/>
          <w:bCs/>
          <w:lang w:val="en-GB"/>
        </w:rPr>
      </w:sdtEndPr>
      <w:sdtContent>
        <w:p w14:paraId="208B3834" w14:textId="77777777" w:rsidR="00A5351C" w:rsidRPr="00C632EC" w:rsidRDefault="00A5351C" w:rsidP="00A5351C">
          <w:pPr>
            <w:pStyle w:val="TOCHeading"/>
            <w:rPr>
              <w:rFonts w:ascii="Poppins SemiBold" w:hAnsi="Poppins SemiBold" w:cs="Poppins SemiBold"/>
              <w:b/>
              <w:color w:val="690048"/>
              <w:kern w:val="2"/>
              <w:sz w:val="26"/>
              <w:szCs w:val="26"/>
              <w:lang w:val="en-AU"/>
              <w14:ligatures w14:val="standardContextual"/>
            </w:rPr>
          </w:pPr>
          <w:r w:rsidRPr="00C632EC">
            <w:rPr>
              <w:rFonts w:ascii="Poppins SemiBold" w:hAnsi="Poppins SemiBold" w:cs="Poppins SemiBold"/>
              <w:b/>
              <w:color w:val="690048"/>
              <w:kern w:val="2"/>
              <w:sz w:val="26"/>
              <w:szCs w:val="26"/>
              <w:lang w:val="en-AU"/>
              <w14:ligatures w14:val="standardContextual"/>
            </w:rPr>
            <w:t>Contents</w:t>
          </w:r>
        </w:p>
        <w:p w14:paraId="14E151C9" w14:textId="04C33322" w:rsidR="00AB480C" w:rsidRDefault="00A5351C">
          <w:pPr>
            <w:pStyle w:val="TOC1"/>
            <w:rPr>
              <w:rFonts w:asciiTheme="minorHAnsi" w:hAnsiTheme="minorHAnsi"/>
              <w:bCs w:val="0"/>
              <w:lang w:eastAsia="en-AU"/>
            </w:rPr>
          </w:pPr>
          <w:r w:rsidRPr="00AD1A3F">
            <w:rPr>
              <w:noProof w:val="0"/>
            </w:rPr>
            <w:fldChar w:fldCharType="begin"/>
          </w:r>
          <w:r w:rsidRPr="00AD1A3F">
            <w:rPr>
              <w:noProof w:val="0"/>
            </w:rPr>
            <w:instrText xml:space="preserve"> TOC \o "1-3" \h \z \u </w:instrText>
          </w:r>
          <w:r w:rsidRPr="00AD1A3F">
            <w:rPr>
              <w:noProof w:val="0"/>
            </w:rPr>
            <w:fldChar w:fldCharType="separate"/>
          </w:r>
          <w:hyperlink w:anchor="_Toc216981084" w:history="1">
            <w:r w:rsidR="00AB480C" w:rsidRPr="00552301">
              <w:rPr>
                <w:rStyle w:val="Hyperlink"/>
                <w:rFonts w:cs="Poppins SemiBold"/>
                <w:b/>
              </w:rPr>
              <w:t>About QIDAN</w:t>
            </w:r>
            <w:r w:rsidR="00AB480C">
              <w:rPr>
                <w:webHidden/>
              </w:rPr>
              <w:tab/>
            </w:r>
            <w:r w:rsidR="00AB480C">
              <w:rPr>
                <w:webHidden/>
              </w:rPr>
              <w:fldChar w:fldCharType="begin"/>
            </w:r>
            <w:r w:rsidR="00AB480C">
              <w:rPr>
                <w:webHidden/>
              </w:rPr>
              <w:instrText xml:space="preserve"> PAGEREF _Toc216981084 \h </w:instrText>
            </w:r>
            <w:r w:rsidR="00AB480C">
              <w:rPr>
                <w:webHidden/>
              </w:rPr>
            </w:r>
            <w:r w:rsidR="00AB480C">
              <w:rPr>
                <w:webHidden/>
              </w:rPr>
              <w:fldChar w:fldCharType="separate"/>
            </w:r>
            <w:r w:rsidR="006A2DC1">
              <w:rPr>
                <w:webHidden/>
              </w:rPr>
              <w:t>3</w:t>
            </w:r>
            <w:r w:rsidR="00AB480C">
              <w:rPr>
                <w:webHidden/>
              </w:rPr>
              <w:fldChar w:fldCharType="end"/>
            </w:r>
          </w:hyperlink>
        </w:p>
        <w:p w14:paraId="230B35FB" w14:textId="3896C36D" w:rsidR="00AB480C" w:rsidRDefault="00AB480C">
          <w:pPr>
            <w:pStyle w:val="TOC1"/>
            <w:rPr>
              <w:rFonts w:asciiTheme="minorHAnsi" w:hAnsiTheme="minorHAnsi"/>
              <w:bCs w:val="0"/>
              <w:lang w:eastAsia="en-AU"/>
            </w:rPr>
          </w:pPr>
          <w:hyperlink w:anchor="_Toc216981085" w:history="1">
            <w:r w:rsidRPr="00552301">
              <w:rPr>
                <w:rStyle w:val="Hyperlink"/>
                <w:rFonts w:cs="Poppins SemiBold"/>
                <w:b/>
              </w:rPr>
              <w:t>Introduction</w:t>
            </w:r>
            <w:r>
              <w:rPr>
                <w:webHidden/>
              </w:rPr>
              <w:tab/>
            </w:r>
            <w:r>
              <w:rPr>
                <w:webHidden/>
              </w:rPr>
              <w:fldChar w:fldCharType="begin"/>
            </w:r>
            <w:r>
              <w:rPr>
                <w:webHidden/>
              </w:rPr>
              <w:instrText xml:space="preserve"> PAGEREF _Toc216981085 \h </w:instrText>
            </w:r>
            <w:r>
              <w:rPr>
                <w:webHidden/>
              </w:rPr>
            </w:r>
            <w:r>
              <w:rPr>
                <w:webHidden/>
              </w:rPr>
              <w:fldChar w:fldCharType="separate"/>
            </w:r>
            <w:r w:rsidR="006A2DC1">
              <w:rPr>
                <w:webHidden/>
              </w:rPr>
              <w:t>4</w:t>
            </w:r>
            <w:r>
              <w:rPr>
                <w:webHidden/>
              </w:rPr>
              <w:fldChar w:fldCharType="end"/>
            </w:r>
          </w:hyperlink>
        </w:p>
        <w:p w14:paraId="0022AD3D" w14:textId="7FF42BCB" w:rsidR="00AB480C" w:rsidRDefault="00AB480C">
          <w:pPr>
            <w:pStyle w:val="TOC1"/>
            <w:rPr>
              <w:rFonts w:asciiTheme="minorHAnsi" w:hAnsiTheme="minorHAnsi"/>
              <w:bCs w:val="0"/>
              <w:lang w:eastAsia="en-AU"/>
            </w:rPr>
          </w:pPr>
          <w:hyperlink w:anchor="_Toc216981086" w:history="1">
            <w:r w:rsidRPr="00552301">
              <w:rPr>
                <w:rStyle w:val="Hyperlink"/>
                <w:rFonts w:cs="Poppins SemiBold"/>
                <w:b/>
              </w:rPr>
              <w:t>Recommendations</w:t>
            </w:r>
            <w:r>
              <w:rPr>
                <w:webHidden/>
              </w:rPr>
              <w:tab/>
            </w:r>
            <w:r>
              <w:rPr>
                <w:webHidden/>
              </w:rPr>
              <w:fldChar w:fldCharType="begin"/>
            </w:r>
            <w:r>
              <w:rPr>
                <w:webHidden/>
              </w:rPr>
              <w:instrText xml:space="preserve"> PAGEREF _Toc216981086 \h </w:instrText>
            </w:r>
            <w:r>
              <w:rPr>
                <w:webHidden/>
              </w:rPr>
            </w:r>
            <w:r>
              <w:rPr>
                <w:webHidden/>
              </w:rPr>
              <w:fldChar w:fldCharType="separate"/>
            </w:r>
            <w:r w:rsidR="006A2DC1">
              <w:rPr>
                <w:webHidden/>
              </w:rPr>
              <w:t>6</w:t>
            </w:r>
            <w:r>
              <w:rPr>
                <w:webHidden/>
              </w:rPr>
              <w:fldChar w:fldCharType="end"/>
            </w:r>
          </w:hyperlink>
        </w:p>
        <w:p w14:paraId="4D5CA279" w14:textId="37FB044E" w:rsidR="00AB480C" w:rsidRDefault="00AB480C">
          <w:pPr>
            <w:pStyle w:val="TOC1"/>
            <w:rPr>
              <w:rFonts w:asciiTheme="minorHAnsi" w:hAnsiTheme="minorHAnsi"/>
              <w:bCs w:val="0"/>
              <w:lang w:eastAsia="en-AU"/>
            </w:rPr>
          </w:pPr>
          <w:hyperlink w:anchor="_Toc216981087" w:history="1">
            <w:r w:rsidRPr="00552301">
              <w:rPr>
                <w:rStyle w:val="Hyperlink"/>
                <w:b/>
              </w:rPr>
              <w:t>Safeguards and quality can be as diverse as disability is</w:t>
            </w:r>
            <w:r>
              <w:rPr>
                <w:webHidden/>
              </w:rPr>
              <w:tab/>
            </w:r>
            <w:r>
              <w:rPr>
                <w:webHidden/>
              </w:rPr>
              <w:fldChar w:fldCharType="begin"/>
            </w:r>
            <w:r>
              <w:rPr>
                <w:webHidden/>
              </w:rPr>
              <w:instrText xml:space="preserve"> PAGEREF _Toc216981087 \h </w:instrText>
            </w:r>
            <w:r>
              <w:rPr>
                <w:webHidden/>
              </w:rPr>
            </w:r>
            <w:r>
              <w:rPr>
                <w:webHidden/>
              </w:rPr>
              <w:fldChar w:fldCharType="separate"/>
            </w:r>
            <w:r w:rsidR="006A2DC1">
              <w:rPr>
                <w:webHidden/>
              </w:rPr>
              <w:t>7</w:t>
            </w:r>
            <w:r>
              <w:rPr>
                <w:webHidden/>
              </w:rPr>
              <w:fldChar w:fldCharType="end"/>
            </w:r>
          </w:hyperlink>
        </w:p>
        <w:p w14:paraId="75D1E754" w14:textId="5952F838" w:rsidR="00AB480C" w:rsidRDefault="00AB480C">
          <w:pPr>
            <w:pStyle w:val="TOC1"/>
            <w:rPr>
              <w:rFonts w:asciiTheme="minorHAnsi" w:hAnsiTheme="minorHAnsi"/>
              <w:bCs w:val="0"/>
              <w:lang w:eastAsia="en-AU"/>
            </w:rPr>
          </w:pPr>
          <w:hyperlink w:anchor="_Toc216981088" w:history="1">
            <w:r w:rsidRPr="00552301">
              <w:rPr>
                <w:rStyle w:val="Hyperlink"/>
                <w:b/>
              </w:rPr>
              <w:t>Meaningful and practical safeguards</w:t>
            </w:r>
            <w:r>
              <w:rPr>
                <w:webHidden/>
              </w:rPr>
              <w:tab/>
            </w:r>
            <w:r>
              <w:rPr>
                <w:webHidden/>
              </w:rPr>
              <w:fldChar w:fldCharType="begin"/>
            </w:r>
            <w:r>
              <w:rPr>
                <w:webHidden/>
              </w:rPr>
              <w:instrText xml:space="preserve"> PAGEREF _Toc216981088 \h </w:instrText>
            </w:r>
            <w:r>
              <w:rPr>
                <w:webHidden/>
              </w:rPr>
            </w:r>
            <w:r>
              <w:rPr>
                <w:webHidden/>
              </w:rPr>
              <w:fldChar w:fldCharType="separate"/>
            </w:r>
            <w:r w:rsidR="006A2DC1">
              <w:rPr>
                <w:webHidden/>
              </w:rPr>
              <w:t>10</w:t>
            </w:r>
            <w:r>
              <w:rPr>
                <w:webHidden/>
              </w:rPr>
              <w:fldChar w:fldCharType="end"/>
            </w:r>
          </w:hyperlink>
        </w:p>
        <w:p w14:paraId="10A474E9" w14:textId="032B0709" w:rsidR="00AB480C" w:rsidRDefault="00AB480C">
          <w:pPr>
            <w:pStyle w:val="TOC1"/>
            <w:rPr>
              <w:rFonts w:asciiTheme="minorHAnsi" w:hAnsiTheme="minorHAnsi"/>
              <w:bCs w:val="0"/>
              <w:lang w:eastAsia="en-AU"/>
            </w:rPr>
          </w:pPr>
          <w:hyperlink w:anchor="_Toc216981089" w:history="1">
            <w:r w:rsidRPr="00552301">
              <w:rPr>
                <w:rStyle w:val="Hyperlink"/>
                <w:b/>
              </w:rPr>
              <w:t>Clear accountability mechanisms support a coordinated response</w:t>
            </w:r>
            <w:r>
              <w:rPr>
                <w:webHidden/>
              </w:rPr>
              <w:tab/>
            </w:r>
            <w:r>
              <w:rPr>
                <w:webHidden/>
              </w:rPr>
              <w:fldChar w:fldCharType="begin"/>
            </w:r>
            <w:r>
              <w:rPr>
                <w:webHidden/>
              </w:rPr>
              <w:instrText xml:space="preserve"> PAGEREF _Toc216981089 \h </w:instrText>
            </w:r>
            <w:r>
              <w:rPr>
                <w:webHidden/>
              </w:rPr>
            </w:r>
            <w:r>
              <w:rPr>
                <w:webHidden/>
              </w:rPr>
              <w:fldChar w:fldCharType="separate"/>
            </w:r>
            <w:r w:rsidR="006A2DC1">
              <w:rPr>
                <w:webHidden/>
              </w:rPr>
              <w:t>13</w:t>
            </w:r>
            <w:r>
              <w:rPr>
                <w:webHidden/>
              </w:rPr>
              <w:fldChar w:fldCharType="end"/>
            </w:r>
          </w:hyperlink>
        </w:p>
        <w:p w14:paraId="1025B7A2" w14:textId="001BDF43" w:rsidR="00AB480C" w:rsidRDefault="00AB480C">
          <w:pPr>
            <w:pStyle w:val="TOC1"/>
            <w:rPr>
              <w:rFonts w:asciiTheme="minorHAnsi" w:hAnsiTheme="minorHAnsi"/>
              <w:bCs w:val="0"/>
              <w:lang w:eastAsia="en-AU"/>
            </w:rPr>
          </w:pPr>
          <w:hyperlink w:anchor="_Toc216981090" w:history="1">
            <w:r w:rsidRPr="00552301">
              <w:rPr>
                <w:rStyle w:val="Hyperlink"/>
                <w:b/>
              </w:rPr>
              <w:t>Disability leadership</w:t>
            </w:r>
            <w:r>
              <w:rPr>
                <w:webHidden/>
              </w:rPr>
              <w:tab/>
            </w:r>
            <w:r>
              <w:rPr>
                <w:webHidden/>
              </w:rPr>
              <w:fldChar w:fldCharType="begin"/>
            </w:r>
            <w:r>
              <w:rPr>
                <w:webHidden/>
              </w:rPr>
              <w:instrText xml:space="preserve"> PAGEREF _Toc216981090 \h </w:instrText>
            </w:r>
            <w:r>
              <w:rPr>
                <w:webHidden/>
              </w:rPr>
            </w:r>
            <w:r>
              <w:rPr>
                <w:webHidden/>
              </w:rPr>
              <w:fldChar w:fldCharType="separate"/>
            </w:r>
            <w:r w:rsidR="006A2DC1">
              <w:rPr>
                <w:webHidden/>
              </w:rPr>
              <w:t>14</w:t>
            </w:r>
            <w:r>
              <w:rPr>
                <w:webHidden/>
              </w:rPr>
              <w:fldChar w:fldCharType="end"/>
            </w:r>
          </w:hyperlink>
        </w:p>
        <w:p w14:paraId="1202830B" w14:textId="5CBCE6B4" w:rsidR="00AB480C" w:rsidRDefault="00AB480C">
          <w:pPr>
            <w:pStyle w:val="TOC1"/>
            <w:rPr>
              <w:rFonts w:asciiTheme="minorHAnsi" w:hAnsiTheme="minorHAnsi"/>
              <w:bCs w:val="0"/>
              <w:lang w:eastAsia="en-AU"/>
            </w:rPr>
          </w:pPr>
          <w:hyperlink w:anchor="_Toc216981091" w:history="1">
            <w:r w:rsidRPr="00552301">
              <w:rPr>
                <w:rStyle w:val="Hyperlink"/>
                <w:b/>
              </w:rPr>
              <w:t>Conclusion</w:t>
            </w:r>
            <w:r>
              <w:rPr>
                <w:webHidden/>
              </w:rPr>
              <w:tab/>
            </w:r>
            <w:r>
              <w:rPr>
                <w:webHidden/>
              </w:rPr>
              <w:fldChar w:fldCharType="begin"/>
            </w:r>
            <w:r>
              <w:rPr>
                <w:webHidden/>
              </w:rPr>
              <w:instrText xml:space="preserve"> PAGEREF _Toc216981091 \h </w:instrText>
            </w:r>
            <w:r>
              <w:rPr>
                <w:webHidden/>
              </w:rPr>
            </w:r>
            <w:r>
              <w:rPr>
                <w:webHidden/>
              </w:rPr>
              <w:fldChar w:fldCharType="separate"/>
            </w:r>
            <w:r w:rsidR="006A2DC1">
              <w:rPr>
                <w:webHidden/>
              </w:rPr>
              <w:t>14</w:t>
            </w:r>
            <w:r>
              <w:rPr>
                <w:webHidden/>
              </w:rPr>
              <w:fldChar w:fldCharType="end"/>
            </w:r>
          </w:hyperlink>
        </w:p>
        <w:p w14:paraId="147EC338" w14:textId="0569F186" w:rsidR="00A5351C" w:rsidRDefault="00A5351C" w:rsidP="00A5351C">
          <w:pPr>
            <w:rPr>
              <w:b/>
              <w:bCs/>
            </w:rPr>
          </w:pPr>
          <w:r w:rsidRPr="00AD1A3F">
            <w:rPr>
              <w:b/>
              <w:bCs/>
            </w:rPr>
            <w:fldChar w:fldCharType="end"/>
          </w:r>
        </w:p>
      </w:sdtContent>
    </w:sdt>
    <w:p w14:paraId="2FB25AA6" w14:textId="77777777" w:rsidR="002C77FC" w:rsidRDefault="002C77FC" w:rsidP="00883DE2">
      <w:pPr>
        <w:rPr>
          <w:rFonts w:ascii="Nunito Sans" w:hAnsi="Nunito Sans"/>
          <w:color w:val="FFFFFF" w:themeColor="background1"/>
          <w:lang w:val="en-US"/>
        </w:rPr>
      </w:pPr>
    </w:p>
    <w:p w14:paraId="684C4BEC" w14:textId="77777777" w:rsidR="002C77FC" w:rsidRDefault="002C77FC" w:rsidP="00E55601">
      <w:pPr>
        <w:jc w:val="right"/>
        <w:rPr>
          <w:rFonts w:ascii="Nunito Sans" w:hAnsi="Nunito Sans"/>
          <w:color w:val="FFFFFF" w:themeColor="background1"/>
          <w:lang w:val="en-US"/>
        </w:rPr>
      </w:pPr>
    </w:p>
    <w:p w14:paraId="520990B9" w14:textId="77777777" w:rsidR="002C77FC" w:rsidRDefault="002C77FC" w:rsidP="00E55601">
      <w:pPr>
        <w:jc w:val="right"/>
        <w:rPr>
          <w:rFonts w:ascii="Nunito Sans" w:hAnsi="Nunito Sans"/>
          <w:color w:val="FFFFFF" w:themeColor="background1"/>
          <w:lang w:val="en-US"/>
        </w:rPr>
      </w:pPr>
    </w:p>
    <w:p w14:paraId="5401E9F0" w14:textId="77777777" w:rsidR="002C77FC" w:rsidRDefault="002C77FC" w:rsidP="00E55601">
      <w:pPr>
        <w:jc w:val="right"/>
        <w:rPr>
          <w:rFonts w:ascii="Nunito Sans" w:hAnsi="Nunito Sans"/>
          <w:color w:val="FFFFFF" w:themeColor="background1"/>
          <w:lang w:val="en-US"/>
        </w:rPr>
      </w:pPr>
    </w:p>
    <w:p w14:paraId="1E56D5C3" w14:textId="77777777" w:rsidR="00883DE2" w:rsidRDefault="00883DE2" w:rsidP="00E55601">
      <w:pPr>
        <w:jc w:val="right"/>
        <w:rPr>
          <w:rFonts w:ascii="Nunito Sans" w:hAnsi="Nunito Sans"/>
          <w:color w:val="FFFFFF" w:themeColor="background1"/>
          <w:lang w:val="en-US"/>
        </w:rPr>
      </w:pPr>
    </w:p>
    <w:p w14:paraId="508B1A07" w14:textId="77777777" w:rsidR="00883DE2" w:rsidRDefault="00883DE2" w:rsidP="00E55601">
      <w:pPr>
        <w:jc w:val="right"/>
        <w:rPr>
          <w:rFonts w:ascii="Nunito Sans" w:hAnsi="Nunito Sans"/>
          <w:color w:val="FFFFFF" w:themeColor="background1"/>
          <w:lang w:val="en-US"/>
        </w:rPr>
      </w:pPr>
    </w:p>
    <w:p w14:paraId="55A40E8A" w14:textId="77777777" w:rsidR="00883DE2" w:rsidRDefault="00883DE2" w:rsidP="00E55601">
      <w:pPr>
        <w:jc w:val="right"/>
        <w:rPr>
          <w:rFonts w:ascii="Nunito Sans" w:hAnsi="Nunito Sans"/>
          <w:color w:val="FFFFFF" w:themeColor="background1"/>
          <w:lang w:val="en-US"/>
        </w:rPr>
      </w:pPr>
    </w:p>
    <w:p w14:paraId="3EF98658" w14:textId="77777777" w:rsidR="00883DE2" w:rsidRDefault="00883DE2" w:rsidP="00E55601">
      <w:pPr>
        <w:jc w:val="right"/>
        <w:rPr>
          <w:rFonts w:ascii="Nunito Sans" w:hAnsi="Nunito Sans"/>
          <w:color w:val="FFFFFF" w:themeColor="background1"/>
          <w:lang w:val="en-US"/>
        </w:rPr>
      </w:pPr>
    </w:p>
    <w:p w14:paraId="74E370F6" w14:textId="77777777" w:rsidR="00883DE2" w:rsidRDefault="00883DE2" w:rsidP="00E55601">
      <w:pPr>
        <w:jc w:val="right"/>
        <w:rPr>
          <w:rFonts w:ascii="Nunito Sans" w:hAnsi="Nunito Sans"/>
          <w:color w:val="FFFFFF" w:themeColor="background1"/>
          <w:lang w:val="en-US"/>
        </w:rPr>
      </w:pPr>
    </w:p>
    <w:p w14:paraId="24ACBC11" w14:textId="77777777" w:rsidR="00883DE2" w:rsidRDefault="00883DE2" w:rsidP="00E55601">
      <w:pPr>
        <w:jc w:val="right"/>
        <w:rPr>
          <w:rFonts w:ascii="Nunito Sans" w:hAnsi="Nunito Sans"/>
          <w:color w:val="FFFFFF" w:themeColor="background1"/>
          <w:lang w:val="en-US"/>
        </w:rPr>
      </w:pPr>
    </w:p>
    <w:p w14:paraId="4966F7FC" w14:textId="77777777" w:rsidR="00883DE2" w:rsidRDefault="00883DE2" w:rsidP="00E55601">
      <w:pPr>
        <w:jc w:val="right"/>
        <w:rPr>
          <w:rFonts w:ascii="Nunito Sans" w:hAnsi="Nunito Sans"/>
          <w:color w:val="FFFFFF" w:themeColor="background1"/>
          <w:lang w:val="en-US"/>
        </w:rPr>
      </w:pPr>
    </w:p>
    <w:p w14:paraId="7204DCD8" w14:textId="77777777" w:rsidR="00883DE2" w:rsidRDefault="00883DE2" w:rsidP="00E55601">
      <w:pPr>
        <w:jc w:val="right"/>
        <w:rPr>
          <w:rFonts w:ascii="Nunito Sans" w:hAnsi="Nunito Sans"/>
          <w:color w:val="FFFFFF" w:themeColor="background1"/>
          <w:lang w:val="en-US"/>
        </w:rPr>
      </w:pPr>
    </w:p>
    <w:p w14:paraId="7759943A" w14:textId="77777777" w:rsidR="00883DE2" w:rsidRDefault="00883DE2" w:rsidP="00E55601">
      <w:pPr>
        <w:jc w:val="right"/>
        <w:rPr>
          <w:rFonts w:ascii="Nunito Sans" w:hAnsi="Nunito Sans"/>
          <w:color w:val="FFFFFF" w:themeColor="background1"/>
          <w:lang w:val="en-US"/>
        </w:rPr>
      </w:pPr>
    </w:p>
    <w:p w14:paraId="312289CB" w14:textId="77777777" w:rsidR="00BD10B5" w:rsidRDefault="00BD10B5" w:rsidP="00E55601">
      <w:pPr>
        <w:jc w:val="right"/>
        <w:rPr>
          <w:rFonts w:ascii="Nunito Sans" w:hAnsi="Nunito Sans"/>
          <w:color w:val="FFFFFF" w:themeColor="background1"/>
          <w:lang w:val="en-US"/>
        </w:rPr>
      </w:pPr>
    </w:p>
    <w:p w14:paraId="78169E50" w14:textId="77777777" w:rsidR="00BD10B5" w:rsidRDefault="00BD10B5" w:rsidP="00E55601">
      <w:pPr>
        <w:jc w:val="right"/>
        <w:rPr>
          <w:rFonts w:ascii="Nunito Sans" w:hAnsi="Nunito Sans"/>
          <w:color w:val="FFFFFF" w:themeColor="background1"/>
          <w:lang w:val="en-US"/>
        </w:rPr>
      </w:pPr>
    </w:p>
    <w:p w14:paraId="07A53F0B" w14:textId="77777777" w:rsidR="00BD10B5" w:rsidRDefault="00BD10B5" w:rsidP="00E55601">
      <w:pPr>
        <w:jc w:val="right"/>
        <w:rPr>
          <w:rFonts w:ascii="Nunito Sans" w:hAnsi="Nunito Sans"/>
          <w:color w:val="FFFFFF" w:themeColor="background1"/>
          <w:lang w:val="en-US"/>
        </w:rPr>
      </w:pPr>
    </w:p>
    <w:p w14:paraId="69D59E6B" w14:textId="77777777" w:rsidR="00883DE2" w:rsidRDefault="00883DE2" w:rsidP="00E55601">
      <w:pPr>
        <w:jc w:val="right"/>
        <w:rPr>
          <w:rFonts w:ascii="Nunito Sans" w:hAnsi="Nunito Sans"/>
          <w:color w:val="FFFFFF" w:themeColor="background1"/>
          <w:lang w:val="en-US"/>
        </w:rPr>
      </w:pPr>
    </w:p>
    <w:p w14:paraId="30EA8EDD" w14:textId="77777777" w:rsidR="00FD40D6" w:rsidRDefault="00FD40D6" w:rsidP="00F11451">
      <w:pPr>
        <w:pStyle w:val="QIDANSubheading"/>
      </w:pPr>
    </w:p>
    <w:p w14:paraId="5974E65E" w14:textId="77777777" w:rsidR="001A2EA7" w:rsidRDefault="001A2EA7" w:rsidP="00F11451">
      <w:pPr>
        <w:pStyle w:val="QIDANSubheading"/>
      </w:pPr>
    </w:p>
    <w:p w14:paraId="021C5ED3" w14:textId="77777777" w:rsidR="00AB480C" w:rsidRDefault="00AB480C" w:rsidP="00F11451">
      <w:pPr>
        <w:pStyle w:val="QIDANSubheading"/>
      </w:pPr>
    </w:p>
    <w:p w14:paraId="03319ECF" w14:textId="139E2208" w:rsidR="00FD40D6" w:rsidRPr="00393882" w:rsidRDefault="00062AE3" w:rsidP="00FD40D6">
      <w:pPr>
        <w:pStyle w:val="Heading1"/>
        <w:rPr>
          <w:rFonts w:ascii="Nunito Sans" w:hAnsi="Nunito Sans" w:cs="Poppins SemiBold"/>
          <w:b/>
          <w:color w:val="690048"/>
          <w:sz w:val="28"/>
          <w:szCs w:val="28"/>
        </w:rPr>
      </w:pPr>
      <w:bookmarkStart w:id="0" w:name="_Toc216981084"/>
      <w:r>
        <w:rPr>
          <w:rFonts w:ascii="Nunito Sans" w:hAnsi="Nunito Sans" w:cs="Poppins SemiBold"/>
          <w:b/>
          <w:color w:val="690048"/>
          <w:sz w:val="28"/>
          <w:szCs w:val="28"/>
        </w:rPr>
        <w:lastRenderedPageBreak/>
        <w:t>About QIDAN</w:t>
      </w:r>
      <w:bookmarkEnd w:id="0"/>
    </w:p>
    <w:p w14:paraId="4ABC524D" w14:textId="77777777" w:rsidR="000C45C8" w:rsidRPr="007820CD" w:rsidRDefault="000C45C8" w:rsidP="000C45C8">
      <w:pPr>
        <w:pStyle w:val="QIDANParagraph"/>
        <w:rPr>
          <w:rFonts w:eastAsia="Calibri"/>
        </w:rPr>
      </w:pPr>
      <w:r w:rsidRPr="007820CD">
        <w:rPr>
          <w:rFonts w:eastAsia="Calibri"/>
        </w:rPr>
        <w:t>The Queensland Independent Disability Advocacy Network (</w:t>
      </w:r>
      <w:r w:rsidRPr="00220129">
        <w:rPr>
          <w:rFonts w:eastAsia="Calibri"/>
          <w:b/>
          <w:bCs/>
        </w:rPr>
        <w:t>QIDAN</w:t>
      </w:r>
      <w:r w:rsidRPr="007820CD">
        <w:rPr>
          <w:rFonts w:eastAsia="Calibri"/>
        </w:rPr>
        <w:t xml:space="preserve">) is a group of organisations that provide individual advocacy </w:t>
      </w:r>
      <w:r>
        <w:rPr>
          <w:rFonts w:eastAsia="Calibri"/>
        </w:rPr>
        <w:t>assistance</w:t>
      </w:r>
      <w:r w:rsidRPr="007820CD">
        <w:rPr>
          <w:rFonts w:eastAsia="Calibri"/>
        </w:rPr>
        <w:t xml:space="preserve"> to Queenslanders with disability. These organisations are funded under the Queensland Disability Advocacy Program (QDAP). The member organisations include Aged and Disability Advocacy; AMPARO Advocacy Inc; Capricorn Citizen Advocacy; Mackay Advocacy Inc; People with Disability Australia; Queensland Advocacy for Inclusion (QAI); Rights in Action; Speaking Up </w:t>
      </w:r>
      <w:proofErr w:type="gramStart"/>
      <w:r w:rsidRPr="007820CD">
        <w:rPr>
          <w:rFonts w:eastAsia="Calibri"/>
        </w:rPr>
        <w:t>For</w:t>
      </w:r>
      <w:proofErr w:type="gramEnd"/>
      <w:r w:rsidRPr="007820CD">
        <w:rPr>
          <w:rFonts w:eastAsia="Calibri"/>
        </w:rPr>
        <w:t xml:space="preserve"> You; TASC; and Yarn2Action run by Aged and Disability Advocacy.</w:t>
      </w:r>
    </w:p>
    <w:p w14:paraId="00154802" w14:textId="2E031F6B" w:rsidR="005B79D0" w:rsidRDefault="005B79D0" w:rsidP="000C45C8">
      <w:pPr>
        <w:pStyle w:val="QIDANParagraph"/>
        <w:spacing w:after="240"/>
        <w:rPr>
          <w:rFonts w:eastAsia="Calibri"/>
        </w:rPr>
      </w:pPr>
      <w:r>
        <w:rPr>
          <w:rFonts w:eastAsia="Calibri"/>
        </w:rPr>
        <w:t xml:space="preserve">QIDAN members meet </w:t>
      </w:r>
      <w:r w:rsidR="00956EF9">
        <w:rPr>
          <w:rFonts w:eastAsia="Calibri"/>
        </w:rPr>
        <w:t xml:space="preserve">regularly to discuss the pressing issues that are </w:t>
      </w:r>
      <w:r w:rsidR="00462A82">
        <w:rPr>
          <w:rFonts w:eastAsia="Calibri"/>
        </w:rPr>
        <w:t xml:space="preserve">impacting people with disability in our communities, and </w:t>
      </w:r>
      <w:r w:rsidR="00901259">
        <w:rPr>
          <w:rFonts w:eastAsia="Calibri"/>
        </w:rPr>
        <w:t>insufficient safeguarding mechanisms is a common issue</w:t>
      </w:r>
      <w:r w:rsidR="007712E8">
        <w:rPr>
          <w:rFonts w:eastAsia="Calibri"/>
        </w:rPr>
        <w:t xml:space="preserve">. Disability advocacy is a crucial component to effective </w:t>
      </w:r>
      <w:r w:rsidR="00B267E4">
        <w:rPr>
          <w:rFonts w:eastAsia="Calibri"/>
        </w:rPr>
        <w:t xml:space="preserve">safeguarding as our main role is to support and empower people with disability to </w:t>
      </w:r>
      <w:r w:rsidR="007A6D8B">
        <w:rPr>
          <w:rFonts w:eastAsia="Calibri"/>
        </w:rPr>
        <w:t>understand and uphold their rights</w:t>
      </w:r>
      <w:r w:rsidR="006946A5">
        <w:rPr>
          <w:rFonts w:eastAsia="Calibri"/>
        </w:rPr>
        <w:t xml:space="preserve"> and to </w:t>
      </w:r>
      <w:r w:rsidR="007A6D8B">
        <w:rPr>
          <w:rFonts w:eastAsia="Calibri"/>
        </w:rPr>
        <w:t>navigate complex systems</w:t>
      </w:r>
      <w:r w:rsidR="006946A5">
        <w:rPr>
          <w:rFonts w:eastAsia="Calibri"/>
        </w:rPr>
        <w:t xml:space="preserve">. The following submission is informed by our extensive experience working with </w:t>
      </w:r>
      <w:r w:rsidR="003A0A80">
        <w:rPr>
          <w:rFonts w:eastAsia="Calibri"/>
        </w:rPr>
        <w:t xml:space="preserve">Queenslanders with disability </w:t>
      </w:r>
      <w:r w:rsidR="003951C6">
        <w:rPr>
          <w:rFonts w:eastAsia="Calibri"/>
        </w:rPr>
        <w:t xml:space="preserve">to understand and navigate </w:t>
      </w:r>
      <w:r w:rsidR="004E6ADB">
        <w:rPr>
          <w:rFonts w:eastAsia="Calibri"/>
        </w:rPr>
        <w:t>quality and safe services.</w:t>
      </w:r>
    </w:p>
    <w:p w14:paraId="748268DB" w14:textId="77777777" w:rsidR="000C45C8" w:rsidRPr="00800501" w:rsidRDefault="000C45C8" w:rsidP="000C45C8">
      <w:pPr>
        <w:pStyle w:val="QIDANParagraph"/>
        <w:rPr>
          <w:rFonts w:eastAsia="Calibri"/>
          <w:b/>
          <w:bCs/>
          <w:color w:val="690048"/>
        </w:rPr>
      </w:pPr>
      <w:r w:rsidRPr="00800501">
        <w:rPr>
          <w:rFonts w:eastAsia="Calibri"/>
          <w:b/>
          <w:bCs/>
          <w:color w:val="690048"/>
        </w:rPr>
        <w:t>A note on language </w:t>
      </w:r>
    </w:p>
    <w:p w14:paraId="49FD84EE" w14:textId="77777777" w:rsidR="000C45C8" w:rsidRPr="0017348C" w:rsidRDefault="000C45C8" w:rsidP="000C45C8">
      <w:pPr>
        <w:pStyle w:val="QIDANParagraph"/>
        <w:rPr>
          <w:rFonts w:eastAsia="Calibri"/>
        </w:rPr>
      </w:pPr>
      <w:r w:rsidRPr="0017348C">
        <w:rPr>
          <w:rFonts w:eastAsia="Calibri"/>
        </w:rPr>
        <w:t xml:space="preserve">Language is a powerful tool for building inclusion. We use person-first language by using the term ‘people with disability’ but recognise that many people with disability prefer identity first language (i.e. a disabled person). </w:t>
      </w:r>
    </w:p>
    <w:p w14:paraId="4B86CD3E" w14:textId="70E63641" w:rsidR="000B7CD4" w:rsidRDefault="000B7CD4" w:rsidP="000B7CD4">
      <w:pPr>
        <w:pStyle w:val="QIDANParagraph"/>
      </w:pPr>
    </w:p>
    <w:p w14:paraId="48AA6238" w14:textId="77777777" w:rsidR="000B7CD4" w:rsidRDefault="000B7CD4" w:rsidP="000B7CD4"/>
    <w:p w14:paraId="17B20317" w14:textId="77777777" w:rsidR="009F413E" w:rsidRDefault="009F413E" w:rsidP="000B7CD4"/>
    <w:p w14:paraId="197AE971" w14:textId="77777777" w:rsidR="009F413E" w:rsidRDefault="009F413E" w:rsidP="000B7CD4"/>
    <w:p w14:paraId="78F36B74" w14:textId="77777777" w:rsidR="009F413E" w:rsidRDefault="009F413E" w:rsidP="000B7CD4"/>
    <w:p w14:paraId="5804ECD2" w14:textId="77777777" w:rsidR="006410B1" w:rsidRDefault="006410B1" w:rsidP="000B7CD4"/>
    <w:p w14:paraId="602BDCC3" w14:textId="77777777" w:rsidR="006410B1" w:rsidRDefault="006410B1" w:rsidP="000B7CD4"/>
    <w:p w14:paraId="44AD942B" w14:textId="77777777" w:rsidR="009F413E" w:rsidRDefault="009F413E" w:rsidP="000B7CD4"/>
    <w:p w14:paraId="2A40E729" w14:textId="77777777" w:rsidR="009F413E" w:rsidRDefault="009F413E" w:rsidP="000B7CD4"/>
    <w:p w14:paraId="3F0CE3F8" w14:textId="77777777" w:rsidR="009F413E" w:rsidRDefault="009F413E" w:rsidP="000B7CD4"/>
    <w:p w14:paraId="6A51CED0" w14:textId="77777777" w:rsidR="009F413E" w:rsidRPr="000B7CD4" w:rsidRDefault="009F413E" w:rsidP="000B7CD4"/>
    <w:p w14:paraId="658CC7B2" w14:textId="0D27ECD6" w:rsidR="00273FF5" w:rsidRPr="001325E3" w:rsidRDefault="00062AE3" w:rsidP="00273FF5">
      <w:pPr>
        <w:pStyle w:val="Heading1"/>
        <w:rPr>
          <w:rFonts w:ascii="Nunito Sans" w:hAnsi="Nunito Sans" w:cs="Poppins SemiBold"/>
          <w:b/>
          <w:color w:val="690048"/>
          <w:sz w:val="28"/>
          <w:szCs w:val="28"/>
        </w:rPr>
      </w:pPr>
      <w:bookmarkStart w:id="1" w:name="_Toc216981085"/>
      <w:r>
        <w:rPr>
          <w:rFonts w:ascii="Nunito Sans" w:hAnsi="Nunito Sans" w:cs="Poppins SemiBold"/>
          <w:b/>
          <w:color w:val="690048"/>
          <w:sz w:val="28"/>
          <w:szCs w:val="28"/>
        </w:rPr>
        <w:lastRenderedPageBreak/>
        <w:t>Introduction</w:t>
      </w:r>
      <w:bookmarkEnd w:id="1"/>
    </w:p>
    <w:p w14:paraId="269B8E81" w14:textId="4887245D" w:rsidR="00217B79" w:rsidRPr="00217B79" w:rsidRDefault="00C66981" w:rsidP="00217B79">
      <w:pPr>
        <w:pStyle w:val="QIDANParagraph"/>
      </w:pPr>
      <w:r>
        <w:t xml:space="preserve">QIDAN welcomes the </w:t>
      </w:r>
      <w:r w:rsidR="00850348">
        <w:t xml:space="preserve">Australian Government’s commitment to </w:t>
      </w:r>
      <w:r w:rsidR="00CA563E">
        <w:t>improving safeguards for people with disability</w:t>
      </w:r>
      <w:r w:rsidR="00440055">
        <w:t>.</w:t>
      </w:r>
      <w:r w:rsidR="00AD25DC">
        <w:t xml:space="preserve"> QIDAN also welcomes the </w:t>
      </w:r>
      <w:r w:rsidR="001E2102">
        <w:t xml:space="preserve">Government’s commitment to establishing the </w:t>
      </w:r>
      <w:r w:rsidR="00CA563E">
        <w:t>Disability Support Quality and S</w:t>
      </w:r>
      <w:r w:rsidR="00751015">
        <w:t>a</w:t>
      </w:r>
      <w:r w:rsidR="00643070">
        <w:t>feguarding Framework (</w:t>
      </w:r>
      <w:r w:rsidR="00643070" w:rsidRPr="00760D1E">
        <w:rPr>
          <w:b/>
          <w:bCs/>
        </w:rPr>
        <w:t>the Framework</w:t>
      </w:r>
      <w:r w:rsidR="00643070">
        <w:t>) and Disability Support Ecosystem Safeguarding Str</w:t>
      </w:r>
      <w:r w:rsidR="006C314C">
        <w:t>ategy (</w:t>
      </w:r>
      <w:r w:rsidR="006C314C" w:rsidRPr="00760D1E">
        <w:rPr>
          <w:b/>
          <w:bCs/>
        </w:rPr>
        <w:t>Strategy</w:t>
      </w:r>
      <w:r w:rsidR="00751FD2">
        <w:t>)</w:t>
      </w:r>
      <w:r w:rsidR="00E30D64">
        <w:t xml:space="preserve"> as part of its response t</w:t>
      </w:r>
      <w:r w:rsidR="00306F6A">
        <w:t>o the</w:t>
      </w:r>
      <w:r w:rsidR="00CA7B9D">
        <w:t xml:space="preserve"> Royal Commission into Violence, Abuse, Negl</w:t>
      </w:r>
      <w:r w:rsidR="00EF46A8">
        <w:t>ect and Exploitation of People with Disability (</w:t>
      </w:r>
      <w:r w:rsidR="00EF46A8" w:rsidRPr="00760D1E">
        <w:rPr>
          <w:b/>
          <w:bCs/>
        </w:rPr>
        <w:t>the DRC</w:t>
      </w:r>
      <w:r w:rsidR="00C343CD">
        <w:t>)</w:t>
      </w:r>
      <w:r w:rsidR="00751FD2">
        <w:t>.</w:t>
      </w:r>
      <w:r w:rsidR="00217B79">
        <w:t xml:space="preserve"> </w:t>
      </w:r>
      <w:r w:rsidR="00217B79" w:rsidRPr="00217B79">
        <w:t>QIDAN contributed to the DRC in several ways, </w:t>
      </w:r>
      <w:r w:rsidR="00E863D1">
        <w:t xml:space="preserve">with members </w:t>
      </w:r>
      <w:r w:rsidR="00217B79" w:rsidRPr="00217B79">
        <w:t xml:space="preserve">providing advocacy to people with disability involved in the DRC to access and share their experiences, preparing submissions and attending hearings. QIDAN remain cognisant of both the pain and harm caused to people with disability reliving traumatic experiences, and the courage and resilience of Queenslanders. We are pleased to see that people’s stories </w:t>
      </w:r>
      <w:r w:rsidR="00E863D1">
        <w:t>and experiences</w:t>
      </w:r>
      <w:r w:rsidR="00217B79" w:rsidRPr="00217B79">
        <w:t xml:space="preserve"> have resulted in </w:t>
      </w:r>
      <w:r w:rsidR="00CD162D">
        <w:t>this consultatio</w:t>
      </w:r>
      <w:r w:rsidR="008D65D7">
        <w:t>n</w:t>
      </w:r>
      <w:r w:rsidR="00217B79" w:rsidRPr="00217B79">
        <w:t>.</w:t>
      </w:r>
    </w:p>
    <w:p w14:paraId="38B6BE8F" w14:textId="5B1054B6" w:rsidR="00217B79" w:rsidRDefault="00217B79" w:rsidP="00217B79">
      <w:pPr>
        <w:pStyle w:val="QIDANParagraph"/>
      </w:pPr>
      <w:r w:rsidRPr="00217B79">
        <w:t>The key role of QIDAN’s advocates is to uphold the rights, interests and wellbeing of people with disability, addressing</w:t>
      </w:r>
      <w:r w:rsidR="009B57E9">
        <w:t xml:space="preserve"> abuse, neglect, exploitation and violence as they arise. </w:t>
      </w:r>
      <w:r w:rsidRPr="00217B79">
        <w:t>In the 2024-25 financial year, our advocates provided </w:t>
      </w:r>
      <w:r w:rsidR="002C4CD3">
        <w:t>3,409</w:t>
      </w:r>
      <w:r w:rsidRPr="00217B79">
        <w:t> advocacy matters involving government systems</w:t>
      </w:r>
      <w:r w:rsidR="002C4CD3">
        <w:t xml:space="preserve">, including the NDIS, </w:t>
      </w:r>
      <w:r w:rsidRPr="00217B79">
        <w:t>to 1,</w:t>
      </w:r>
      <w:r w:rsidR="007007CE">
        <w:t>746</w:t>
      </w:r>
      <w:r w:rsidRPr="00217B79">
        <w:t> people with disability.</w:t>
      </w:r>
      <w:r w:rsidR="00311C7F">
        <w:t xml:space="preserve"> Over the financial year, 60% of </w:t>
      </w:r>
      <w:r w:rsidR="009D6B99">
        <w:t>our</w:t>
      </w:r>
      <w:r w:rsidR="00311C7F">
        <w:t xml:space="preserve"> advocacy </w:t>
      </w:r>
      <w:r w:rsidR="009D6B99">
        <w:t>was provided to</w:t>
      </w:r>
      <w:r w:rsidR="004A7A1A">
        <w:t xml:space="preserve"> addressed mainstream issues (or non-NDIS)</w:t>
      </w:r>
      <w:r w:rsidR="00720243">
        <w:t>,</w:t>
      </w:r>
      <w:r w:rsidR="00E84CB6">
        <w:t xml:space="preserve"> with hou</w:t>
      </w:r>
      <w:r w:rsidR="00AA6C77">
        <w:t>sing or tenancy being the most common issue. T</w:t>
      </w:r>
      <w:r w:rsidR="00720243">
        <w:t>he remaining 40%</w:t>
      </w:r>
      <w:r w:rsidR="00AA6C77">
        <w:t xml:space="preserve"> of </w:t>
      </w:r>
      <w:r w:rsidR="009D6B99">
        <w:t xml:space="preserve">our </w:t>
      </w:r>
      <w:r w:rsidR="00AA6C77">
        <w:t xml:space="preserve">advocacy </w:t>
      </w:r>
      <w:r w:rsidR="00720243">
        <w:t>addressed NDIS-related issues</w:t>
      </w:r>
      <w:r w:rsidR="00AA6C77">
        <w:t>, with service provision</w:t>
      </w:r>
      <w:r w:rsidR="009D6B99">
        <w:t xml:space="preserve">, often </w:t>
      </w:r>
      <w:proofErr w:type="gramStart"/>
      <w:r w:rsidR="009D6B99">
        <w:t>as a result of</w:t>
      </w:r>
      <w:proofErr w:type="gramEnd"/>
      <w:r w:rsidR="009D6B99">
        <w:t xml:space="preserve"> poor quality,</w:t>
      </w:r>
      <w:r w:rsidR="00AA6C77">
        <w:t xml:space="preserve"> </w:t>
      </w:r>
      <w:r w:rsidR="000C69CC">
        <w:t xml:space="preserve">being the second most common issue. </w:t>
      </w:r>
    </w:p>
    <w:p w14:paraId="5F522ADB" w14:textId="77777777" w:rsidR="00E45A69" w:rsidRPr="00E45A69" w:rsidRDefault="00E45A69" w:rsidP="00E45A69">
      <w:pPr>
        <w:pStyle w:val="QIDANParagraph"/>
      </w:pPr>
      <w:r w:rsidRPr="00E45A69">
        <w:t>Further data from the 2024 to 2025 financial year reveals: </w:t>
      </w:r>
    </w:p>
    <w:p w14:paraId="6E42F81C" w14:textId="404D0B4B" w:rsidR="00E45A69" w:rsidRPr="00E45A69" w:rsidRDefault="00E45A69" w:rsidP="00E45A69">
      <w:pPr>
        <w:pStyle w:val="QIDANParagraph"/>
        <w:numPr>
          <w:ilvl w:val="0"/>
          <w:numId w:val="8"/>
        </w:numPr>
      </w:pPr>
      <w:r w:rsidRPr="00E45A69">
        <w:t xml:space="preserve">23% of advocacy </w:t>
      </w:r>
      <w:r w:rsidR="009D6B99">
        <w:t>was</w:t>
      </w:r>
      <w:r w:rsidRPr="00E45A69">
        <w:t xml:space="preserve"> provided to people with psychosocial disability as their primary disability</w:t>
      </w:r>
      <w:r w:rsidRPr="00E45A69">
        <w:rPr>
          <w:rFonts w:ascii="Times New Roman" w:hAnsi="Times New Roman" w:cs="Times New Roman"/>
        </w:rPr>
        <w:t> </w:t>
      </w:r>
      <w:r w:rsidRPr="00E45A69">
        <w:t> </w:t>
      </w:r>
    </w:p>
    <w:p w14:paraId="1A35413C" w14:textId="7D6927D1" w:rsidR="00E45A69" w:rsidRPr="00E45A69" w:rsidRDefault="00B275F2" w:rsidP="00E45A69">
      <w:pPr>
        <w:pStyle w:val="QIDANParagraph"/>
        <w:numPr>
          <w:ilvl w:val="0"/>
          <w:numId w:val="9"/>
        </w:numPr>
      </w:pPr>
      <w:r>
        <w:t>20</w:t>
      </w:r>
      <w:r w:rsidR="00E45A69" w:rsidRPr="00E45A69">
        <w:t>% of advocacy </w:t>
      </w:r>
      <w:r w:rsidR="009D6B99">
        <w:t>was</w:t>
      </w:r>
      <w:r w:rsidR="00E45A69" w:rsidRPr="00E45A69">
        <w:t xml:space="preserve"> provided to people with physical disability as their primary disability</w:t>
      </w:r>
      <w:r w:rsidR="00E45A69" w:rsidRPr="00E45A69">
        <w:rPr>
          <w:rFonts w:ascii="Times New Roman" w:hAnsi="Times New Roman" w:cs="Times New Roman"/>
        </w:rPr>
        <w:t> </w:t>
      </w:r>
      <w:r w:rsidR="00E45A69" w:rsidRPr="00E45A69">
        <w:t> </w:t>
      </w:r>
    </w:p>
    <w:p w14:paraId="08146667" w14:textId="7589657B" w:rsidR="00E45A69" w:rsidRPr="00E45A69" w:rsidRDefault="00E45A69" w:rsidP="00E45A69">
      <w:pPr>
        <w:pStyle w:val="QIDANParagraph"/>
        <w:numPr>
          <w:ilvl w:val="0"/>
          <w:numId w:val="10"/>
        </w:numPr>
      </w:pPr>
      <w:r w:rsidRPr="00E45A69">
        <w:t>44.6% of </w:t>
      </w:r>
      <w:r w:rsidR="00A85434">
        <w:t xml:space="preserve">our </w:t>
      </w:r>
      <w:r w:rsidRPr="00E45A69">
        <w:t>advocacy involved a person who was not on the NDIS</w:t>
      </w:r>
      <w:r w:rsidRPr="00E45A69">
        <w:rPr>
          <w:rFonts w:ascii="Times New Roman" w:hAnsi="Times New Roman" w:cs="Times New Roman"/>
        </w:rPr>
        <w:t>  </w:t>
      </w:r>
      <w:r w:rsidRPr="00E45A69">
        <w:t> </w:t>
      </w:r>
    </w:p>
    <w:p w14:paraId="11A93B76" w14:textId="61372066" w:rsidR="00E45A69" w:rsidRPr="00E45A69" w:rsidRDefault="00E45A69" w:rsidP="00E45A69">
      <w:pPr>
        <w:pStyle w:val="QIDANParagraph"/>
        <w:numPr>
          <w:ilvl w:val="0"/>
          <w:numId w:val="11"/>
        </w:numPr>
      </w:pPr>
      <w:r w:rsidRPr="00E45A69">
        <w:t>1</w:t>
      </w:r>
      <w:r w:rsidR="00BE0531">
        <w:t>5</w:t>
      </w:r>
      <w:r w:rsidRPr="00E45A69">
        <w:t xml:space="preserve">% of </w:t>
      </w:r>
      <w:r w:rsidR="00A85434">
        <w:t xml:space="preserve">our </w:t>
      </w:r>
      <w:r w:rsidRPr="00E45A69">
        <w:t>advocacy </w:t>
      </w:r>
      <w:r w:rsidR="00A85434">
        <w:t>was</w:t>
      </w:r>
      <w:r w:rsidRPr="00E45A69">
        <w:t xml:space="preserve"> delivered to Aboriginal and/ or Torres Strait Islander</w:t>
      </w:r>
      <w:r w:rsidRPr="00E45A69">
        <w:rPr>
          <w:rFonts w:ascii="Times New Roman" w:hAnsi="Times New Roman" w:cs="Times New Roman"/>
        </w:rPr>
        <w:t> </w:t>
      </w:r>
      <w:r w:rsidRPr="00E45A69">
        <w:t>people </w:t>
      </w:r>
    </w:p>
    <w:p w14:paraId="7F8344CD" w14:textId="4BE007F9" w:rsidR="009705C4" w:rsidRDefault="00E45A69" w:rsidP="009705C4">
      <w:pPr>
        <w:pStyle w:val="QIDANParagraph"/>
        <w:numPr>
          <w:ilvl w:val="0"/>
          <w:numId w:val="12"/>
        </w:numPr>
      </w:pPr>
      <w:r w:rsidRPr="00E45A69">
        <w:lastRenderedPageBreak/>
        <w:t xml:space="preserve">24% of </w:t>
      </w:r>
      <w:r w:rsidR="00D241D3">
        <w:t xml:space="preserve">our </w:t>
      </w:r>
      <w:r w:rsidRPr="00E45A69">
        <w:t>advocacy </w:t>
      </w:r>
      <w:r w:rsidR="00D241D3">
        <w:t>was</w:t>
      </w:r>
      <w:r w:rsidRPr="00E45A69">
        <w:t xml:space="preserve"> delivered to people from a culturally and linguistically diverse background</w:t>
      </w:r>
      <w:r w:rsidRPr="00E45A69">
        <w:rPr>
          <w:rFonts w:ascii="Times New Roman" w:hAnsi="Times New Roman" w:cs="Times New Roman"/>
        </w:rPr>
        <w:t> </w:t>
      </w:r>
    </w:p>
    <w:p w14:paraId="245AE0A1" w14:textId="6A25C416" w:rsidR="00E45A69" w:rsidRPr="00E45A69" w:rsidRDefault="009705C4" w:rsidP="009705C4">
      <w:pPr>
        <w:pStyle w:val="QIDANParagraph"/>
        <w:numPr>
          <w:ilvl w:val="0"/>
          <w:numId w:val="12"/>
        </w:numPr>
      </w:pPr>
      <w:r>
        <w:t xml:space="preserve">3% of </w:t>
      </w:r>
      <w:r w:rsidR="00D241D3">
        <w:t xml:space="preserve">our </w:t>
      </w:r>
      <w:r>
        <w:t xml:space="preserve">advocacy </w:t>
      </w:r>
      <w:r w:rsidR="00D241D3">
        <w:t>was</w:t>
      </w:r>
      <w:r>
        <w:t xml:space="preserve"> delivered to people from the LGBT</w:t>
      </w:r>
      <w:r w:rsidR="0000727C">
        <w:t>Q</w:t>
      </w:r>
      <w:r w:rsidR="00361EE3">
        <w:t>I</w:t>
      </w:r>
      <w:r w:rsidR="0000727C">
        <w:t>A+SB communities</w:t>
      </w:r>
      <w:r w:rsidR="00E45A69" w:rsidRPr="00E45A69">
        <w:t> </w:t>
      </w:r>
    </w:p>
    <w:p w14:paraId="4D685442" w14:textId="029D939F" w:rsidR="00E45A69" w:rsidRPr="00E45A69" w:rsidRDefault="00E45A69" w:rsidP="00E45A69">
      <w:pPr>
        <w:pStyle w:val="QIDANParagraph"/>
        <w:numPr>
          <w:ilvl w:val="0"/>
          <w:numId w:val="13"/>
        </w:numPr>
      </w:pPr>
      <w:r w:rsidRPr="00E45A69">
        <w:rPr>
          <w:lang w:val="en-GB"/>
        </w:rPr>
        <w:t>At least 1</w:t>
      </w:r>
      <w:r w:rsidR="00B20A43">
        <w:rPr>
          <w:lang w:val="en-GB"/>
        </w:rPr>
        <w:t>6</w:t>
      </w:r>
      <w:r w:rsidRPr="00E45A69">
        <w:rPr>
          <w:lang w:val="en-GB"/>
        </w:rPr>
        <w:t xml:space="preserve">% of </w:t>
      </w:r>
      <w:r w:rsidR="00D241D3">
        <w:rPr>
          <w:lang w:val="en-GB"/>
        </w:rPr>
        <w:t xml:space="preserve">our </w:t>
      </w:r>
      <w:r w:rsidRPr="00E45A69">
        <w:rPr>
          <w:lang w:val="en-GB"/>
        </w:rPr>
        <w:t xml:space="preserve">advocacy </w:t>
      </w:r>
      <w:r w:rsidR="00D241D3">
        <w:rPr>
          <w:lang w:val="en-GB"/>
        </w:rPr>
        <w:t>was</w:t>
      </w:r>
      <w:r w:rsidRPr="00E45A69">
        <w:rPr>
          <w:lang w:val="en-GB"/>
        </w:rPr>
        <w:t xml:space="preserve"> provided to a person experiencing domestic and family violence</w:t>
      </w:r>
      <w:r w:rsidRPr="00E45A69">
        <w:t> </w:t>
      </w:r>
    </w:p>
    <w:p w14:paraId="367544AA" w14:textId="196EEF55" w:rsidR="00E45A69" w:rsidRPr="00E45A69" w:rsidRDefault="00E45A69" w:rsidP="00E45A69">
      <w:pPr>
        <w:pStyle w:val="QIDANParagraph"/>
        <w:numPr>
          <w:ilvl w:val="0"/>
          <w:numId w:val="14"/>
        </w:numPr>
      </w:pPr>
      <w:r w:rsidRPr="00E45A69">
        <w:t>At least 26% </w:t>
      </w:r>
      <w:r w:rsidRPr="00E45A69">
        <w:rPr>
          <w:lang w:val="en-GB"/>
        </w:rPr>
        <w:t>of</w:t>
      </w:r>
      <w:r w:rsidR="00D241D3">
        <w:rPr>
          <w:lang w:val="en-GB"/>
        </w:rPr>
        <w:t xml:space="preserve"> our</w:t>
      </w:r>
      <w:r w:rsidRPr="00E45A69">
        <w:rPr>
          <w:lang w:val="en-GB"/>
        </w:rPr>
        <w:t xml:space="preserve"> advocacy </w:t>
      </w:r>
      <w:r w:rsidR="00D241D3">
        <w:rPr>
          <w:lang w:val="en-GB"/>
        </w:rPr>
        <w:t>was</w:t>
      </w:r>
      <w:r w:rsidRPr="00E45A69">
        <w:rPr>
          <w:lang w:val="en-GB"/>
        </w:rPr>
        <w:t xml:space="preserve"> provided to a person who was experiencing, or was at risk of experiencing, homelessness.</w:t>
      </w:r>
      <w:r w:rsidRPr="00E45A69">
        <w:rPr>
          <w:rFonts w:ascii="Times New Roman" w:hAnsi="Times New Roman" w:cs="Times New Roman"/>
          <w:lang w:val="en-GB"/>
        </w:rPr>
        <w:t> </w:t>
      </w:r>
      <w:r w:rsidRPr="00E45A69">
        <w:t> </w:t>
      </w:r>
    </w:p>
    <w:p w14:paraId="0477671F" w14:textId="04467252" w:rsidR="00127FD8" w:rsidRDefault="00127FD8" w:rsidP="000B7CD4">
      <w:pPr>
        <w:pStyle w:val="QIDANParagraph"/>
      </w:pPr>
      <w:r>
        <w:t xml:space="preserve">In addition to the above, QIDAN advocates meet regularly through our Community of Practice, </w:t>
      </w:r>
      <w:r w:rsidR="00131812">
        <w:t xml:space="preserve">including regular participation </w:t>
      </w:r>
      <w:r>
        <w:t xml:space="preserve">of the </w:t>
      </w:r>
      <w:r w:rsidR="0021676F">
        <w:t xml:space="preserve">NDIA and the Office of the Public Guardian. These </w:t>
      </w:r>
      <w:r w:rsidR="00131812">
        <w:t>are</w:t>
      </w:r>
      <w:r w:rsidR="0021676F">
        <w:t xml:space="preserve"> opportunities for advocates to </w:t>
      </w:r>
      <w:r w:rsidR="00685509">
        <w:t>raise</w:t>
      </w:r>
      <w:r w:rsidR="0021676F">
        <w:t xml:space="preserve"> systemic </w:t>
      </w:r>
      <w:r w:rsidR="00BA7188">
        <w:t>concerns, and to work collaboratively with government bodies on issues that affect people we support.</w:t>
      </w:r>
    </w:p>
    <w:p w14:paraId="4BC25925" w14:textId="7089D5D1" w:rsidR="00D97B4F" w:rsidRDefault="00AE0E52" w:rsidP="000B7CD4">
      <w:pPr>
        <w:pStyle w:val="QIDANParagraph"/>
      </w:pPr>
      <w:r>
        <w:t>I</w:t>
      </w:r>
      <w:r w:rsidR="00D97B4F">
        <w:t xml:space="preserve">n </w:t>
      </w:r>
      <w:r w:rsidR="00165880">
        <w:t>March 2025</w:t>
      </w:r>
      <w:r w:rsidR="00804A4C">
        <w:t xml:space="preserve"> QIDAN provided advice to</w:t>
      </w:r>
      <w:r w:rsidR="00165880">
        <w:t xml:space="preserve"> the NDIS Quality and Safeguards Commission</w:t>
      </w:r>
      <w:r w:rsidR="0099576D">
        <w:t xml:space="preserve"> (</w:t>
      </w:r>
      <w:r w:rsidR="0099576D" w:rsidRPr="0099576D">
        <w:rPr>
          <w:b/>
          <w:bCs/>
        </w:rPr>
        <w:t>the NDIS Commission</w:t>
      </w:r>
      <w:r w:rsidR="0099576D">
        <w:t>)</w:t>
      </w:r>
      <w:r w:rsidR="00165880">
        <w:t xml:space="preserve"> as a response to </w:t>
      </w:r>
      <w:r w:rsidR="006267B7">
        <w:t>Proposed Mandatory Registration: supported independent living (</w:t>
      </w:r>
      <w:r w:rsidR="0088285F" w:rsidRPr="00283B0B">
        <w:rPr>
          <w:b/>
          <w:bCs/>
        </w:rPr>
        <w:t>SIL</w:t>
      </w:r>
      <w:r w:rsidR="006267B7">
        <w:t>) and support coordination consultation</w:t>
      </w:r>
      <w:r>
        <w:t>.</w:t>
      </w:r>
      <w:r w:rsidR="006267B7">
        <w:rPr>
          <w:rStyle w:val="FootnoteReference"/>
        </w:rPr>
        <w:footnoteReference w:id="2"/>
      </w:r>
      <w:r>
        <w:t xml:space="preserve"> We note that </w:t>
      </w:r>
      <w:r w:rsidR="00EA0FD2">
        <w:t>as we write this submission, the government has</w:t>
      </w:r>
      <w:r w:rsidR="00F51A2D">
        <w:t xml:space="preserve"> announced</w:t>
      </w:r>
      <w:r w:rsidR="00F51A2D" w:rsidRPr="00F51A2D">
        <w:t xml:space="preserve"> that mandatory registration for disability service providers in </w:t>
      </w:r>
      <w:r w:rsidR="00283B0B">
        <w:t>SIL</w:t>
      </w:r>
      <w:r w:rsidR="00F51A2D" w:rsidRPr="00F51A2D">
        <w:t xml:space="preserve"> as well as platform providers, will begin from 1 July 2026</w:t>
      </w:r>
      <w:r w:rsidR="003A419E">
        <w:t xml:space="preserve">. We welcome this step, but we reinforce that meaningful safeguards go beyond mandatory registration of providers, as </w:t>
      </w:r>
      <w:r w:rsidR="00372DCA">
        <w:t>stated in the NDIS Provider and Worker Registration Taskforce Advice (</w:t>
      </w:r>
      <w:r w:rsidR="00372DCA" w:rsidRPr="00283B0B">
        <w:rPr>
          <w:b/>
          <w:bCs/>
        </w:rPr>
        <w:t>the Taskforce Advice</w:t>
      </w:r>
      <w:r w:rsidR="00372DCA">
        <w:t>)</w:t>
      </w:r>
      <w:r w:rsidR="00B27861">
        <w:t>.</w:t>
      </w:r>
      <w:r w:rsidR="00283B0B">
        <w:rPr>
          <w:rStyle w:val="FootnoteReference"/>
        </w:rPr>
        <w:footnoteReference w:id="3"/>
      </w:r>
      <w:r w:rsidR="00B27861">
        <w:t xml:space="preserve"> </w:t>
      </w:r>
    </w:p>
    <w:p w14:paraId="4C256584" w14:textId="72979CA1" w:rsidR="0079152D" w:rsidRDefault="00DA4B2C" w:rsidP="000B7CD4">
      <w:pPr>
        <w:pStyle w:val="QIDANParagraph"/>
      </w:pPr>
      <w:r>
        <w:t xml:space="preserve">Our views and recommendations </w:t>
      </w:r>
      <w:r w:rsidR="007701C5">
        <w:t>are grounded in the concept</w:t>
      </w:r>
      <w:r w:rsidR="00612F1F">
        <w:t>s</w:t>
      </w:r>
      <w:r w:rsidR="007701C5">
        <w:t xml:space="preserve"> of </w:t>
      </w:r>
      <w:r w:rsidR="00702CAD">
        <w:t xml:space="preserve">self-determination, </w:t>
      </w:r>
      <w:r w:rsidR="00E95F64">
        <w:t xml:space="preserve">capacity and </w:t>
      </w:r>
      <w:r w:rsidR="007701C5">
        <w:t xml:space="preserve">dignity of risk, which means giving people the right and dignity to take risks they consider reasonable. This </w:t>
      </w:r>
      <w:r>
        <w:t xml:space="preserve">submission </w:t>
      </w:r>
      <w:r w:rsidR="00D4521B">
        <w:t>reflects</w:t>
      </w:r>
      <w:r>
        <w:t xml:space="preserve"> our advocacy experience assisting Queenslanders with disability</w:t>
      </w:r>
      <w:r w:rsidR="00D97B4F">
        <w:t>, both in our individual advocacy as well as in our systems advocacy.</w:t>
      </w:r>
      <w:r w:rsidR="00B03DD4">
        <w:t xml:space="preserve"> </w:t>
      </w:r>
    </w:p>
    <w:p w14:paraId="7A0BD745" w14:textId="0F912D47" w:rsidR="0005141D" w:rsidRDefault="00062AE3" w:rsidP="00DF1AA4">
      <w:pPr>
        <w:pStyle w:val="Heading1"/>
        <w:rPr>
          <w:rFonts w:ascii="Nunito Sans" w:hAnsi="Nunito Sans" w:cs="Poppins SemiBold"/>
          <w:b/>
          <w:color w:val="690048"/>
          <w:sz w:val="28"/>
          <w:szCs w:val="28"/>
        </w:rPr>
      </w:pPr>
      <w:bookmarkStart w:id="2" w:name="_Toc216981086"/>
      <w:r>
        <w:rPr>
          <w:rFonts w:ascii="Nunito Sans" w:hAnsi="Nunito Sans" w:cs="Poppins SemiBold"/>
          <w:b/>
          <w:color w:val="690048"/>
          <w:sz w:val="28"/>
          <w:szCs w:val="28"/>
        </w:rPr>
        <w:lastRenderedPageBreak/>
        <w:t>Recommendations</w:t>
      </w:r>
      <w:bookmarkEnd w:id="2"/>
    </w:p>
    <w:p w14:paraId="1BAA2BE7" w14:textId="02CF779C" w:rsidR="006500BA" w:rsidRDefault="006500BA" w:rsidP="009B4B5C">
      <w:pPr>
        <w:pStyle w:val="QIDANParagraph"/>
        <w:numPr>
          <w:ilvl w:val="0"/>
          <w:numId w:val="7"/>
        </w:numPr>
        <w:ind w:left="426" w:hanging="426"/>
      </w:pPr>
      <w:r>
        <w:t xml:space="preserve">Ensure </w:t>
      </w:r>
      <w:r w:rsidR="00950922">
        <w:t xml:space="preserve">the Framework and Strategy include flexible and culturally appropriate meanings of </w:t>
      </w:r>
      <w:r w:rsidRPr="4534121E">
        <w:t xml:space="preserve">“Quality” and “Safeguards” </w:t>
      </w:r>
      <w:r w:rsidR="009E744C">
        <w:t>to respond to the divers</w:t>
      </w:r>
      <w:r w:rsidR="009B4B5C">
        <w:t>e identities of people with disability.</w:t>
      </w:r>
      <w:r w:rsidRPr="4534121E">
        <w:t xml:space="preserve">  </w:t>
      </w:r>
    </w:p>
    <w:p w14:paraId="609763E7" w14:textId="4D78344E" w:rsidR="009B4B5C" w:rsidRDefault="009B4B5C" w:rsidP="005C37B2">
      <w:pPr>
        <w:pStyle w:val="QIDANParagraph"/>
        <w:numPr>
          <w:ilvl w:val="0"/>
          <w:numId w:val="7"/>
        </w:numPr>
        <w:ind w:left="426" w:hanging="426"/>
      </w:pPr>
      <w:r w:rsidRPr="003F10E9">
        <w:t>Invest in formal and informal support</w:t>
      </w:r>
      <w:r>
        <w:t>s that give people with disability the opportunity to develop</w:t>
      </w:r>
      <w:r w:rsidRPr="003F10E9">
        <w:t xml:space="preserve"> decision-making</w:t>
      </w:r>
      <w:r>
        <w:t xml:space="preserve"> skills</w:t>
      </w:r>
      <w:r w:rsidRPr="003F10E9">
        <w:t xml:space="preserve">, honouring the </w:t>
      </w:r>
      <w:r w:rsidRPr="002B2325">
        <w:t>dignity</w:t>
      </w:r>
      <w:r w:rsidRPr="003F10E9">
        <w:t xml:space="preserve"> of risk</w:t>
      </w:r>
      <w:r w:rsidR="00FC6887">
        <w:t xml:space="preserve">. This must include investment in </w:t>
      </w:r>
      <w:r w:rsidRPr="00FC6887">
        <w:rPr>
          <w:lang w:val="en-GB"/>
        </w:rPr>
        <w:t>independent advocacy</w:t>
      </w:r>
      <w:r w:rsidR="005C37B2">
        <w:rPr>
          <w:lang w:val="en-GB"/>
        </w:rPr>
        <w:t xml:space="preserve"> and in </w:t>
      </w:r>
      <w:r w:rsidRPr="00FC6887">
        <w:rPr>
          <w:lang w:val="en-GB"/>
        </w:rPr>
        <w:t>specialist programs to support people with disability from culturally and linguistically diverse backgrounds, Aboriginal and / or Torres Strait Islander people with disability, people with disability living in regional, remote and rural areas, and people with disability from LGBTQ</w:t>
      </w:r>
      <w:r w:rsidR="00361EE3">
        <w:rPr>
          <w:lang w:val="en-GB"/>
        </w:rPr>
        <w:t>I</w:t>
      </w:r>
      <w:r w:rsidRPr="00FC6887">
        <w:rPr>
          <w:lang w:val="en-GB"/>
        </w:rPr>
        <w:t>A+SB communities.</w:t>
      </w:r>
    </w:p>
    <w:p w14:paraId="294767B7" w14:textId="1D388CC5" w:rsidR="00C96781" w:rsidRDefault="00C96781" w:rsidP="00C96781">
      <w:pPr>
        <w:pStyle w:val="QIDANParagraph"/>
        <w:numPr>
          <w:ilvl w:val="0"/>
          <w:numId w:val="7"/>
        </w:numPr>
        <w:ind w:left="426" w:hanging="426"/>
      </w:pPr>
      <w:r w:rsidRPr="00CD311C">
        <w:t>Institute a comprehensive and integrated response to provide wrap-around supports for people with disability, including people with disability who are not/not yet eligible for the NDIS.</w:t>
      </w:r>
      <w:r>
        <w:t xml:space="preserve"> This may be delivered through Foundational Supports.</w:t>
      </w:r>
      <w:r>
        <w:rPr>
          <w:rStyle w:val="FootnoteReference"/>
        </w:rPr>
        <w:footnoteReference w:id="4"/>
      </w:r>
      <w:r w:rsidRPr="00CD311C">
        <w:t xml:space="preserve"> </w:t>
      </w:r>
    </w:p>
    <w:p w14:paraId="439CC64E" w14:textId="170EAE74" w:rsidR="00B06241" w:rsidRDefault="00A216A6" w:rsidP="00BD3EDC">
      <w:pPr>
        <w:pStyle w:val="QIDANParagraph"/>
        <w:numPr>
          <w:ilvl w:val="0"/>
          <w:numId w:val="7"/>
        </w:numPr>
        <w:ind w:left="426" w:hanging="426"/>
      </w:pPr>
      <w:r w:rsidRPr="00A334B8">
        <w:t xml:space="preserve">Introduce a </w:t>
      </w:r>
      <w:r w:rsidR="008B2223" w:rsidRPr="00AA49FD">
        <w:t>well-equipped, well-trained and person-centred provider of last resort</w:t>
      </w:r>
      <w:r w:rsidR="00A91F44">
        <w:t xml:space="preserve"> that is temporary, </w:t>
      </w:r>
      <w:r w:rsidR="003E7229">
        <w:t xml:space="preserve">prioritises </w:t>
      </w:r>
      <w:r w:rsidR="00C33254">
        <w:t>choice</w:t>
      </w:r>
      <w:r w:rsidR="00120996">
        <w:t xml:space="preserve">, control and </w:t>
      </w:r>
      <w:r w:rsidR="00A91F44">
        <w:t xml:space="preserve">is </w:t>
      </w:r>
      <w:r w:rsidR="00120996">
        <w:t>cultural</w:t>
      </w:r>
      <w:r w:rsidR="00A91F44">
        <w:t>ly safe.</w:t>
      </w:r>
      <w:r w:rsidR="00BD3EDC">
        <w:t xml:space="preserve"> This should prioritise </w:t>
      </w:r>
      <w:r w:rsidR="00B06241">
        <w:t>people in crisis situations</w:t>
      </w:r>
      <w:r w:rsidR="009F4A81">
        <w:t xml:space="preserve">, especially </w:t>
      </w:r>
      <w:r>
        <w:t>where there is serious allegation of sexual, financial or physical abuse</w:t>
      </w:r>
      <w:r w:rsidR="00E82F74">
        <w:t xml:space="preserve"> and / or neglect. </w:t>
      </w:r>
    </w:p>
    <w:p w14:paraId="09F6C91D" w14:textId="77777777" w:rsidR="00E345B7" w:rsidRPr="00A334B8" w:rsidRDefault="00E345B7" w:rsidP="00E345B7">
      <w:pPr>
        <w:pStyle w:val="QIDANParagraph"/>
        <w:numPr>
          <w:ilvl w:val="0"/>
          <w:numId w:val="7"/>
        </w:numPr>
        <w:ind w:left="426" w:hanging="426"/>
      </w:pPr>
      <w:r>
        <w:t>Invest in independent</w:t>
      </w:r>
      <w:r w:rsidRPr="00A334B8">
        <w:t xml:space="preserve"> </w:t>
      </w:r>
      <w:r>
        <w:t xml:space="preserve">and consistent </w:t>
      </w:r>
      <w:r w:rsidRPr="00A334B8">
        <w:t>oversight and accountability</w:t>
      </w:r>
      <w:r>
        <w:t xml:space="preserve">, including right to enter premises, to be performed by the </w:t>
      </w:r>
      <w:r>
        <w:rPr>
          <w:lang w:val="en-GB"/>
        </w:rPr>
        <w:t>Community Visitors and t</w:t>
      </w:r>
      <w:r w:rsidRPr="378F8E85">
        <w:rPr>
          <w:lang w:val="en-GB"/>
        </w:rPr>
        <w:t>he NDIS Commission</w:t>
      </w:r>
      <w:r>
        <w:rPr>
          <w:lang w:val="en-GB"/>
        </w:rPr>
        <w:t>,</w:t>
      </w:r>
      <w:r w:rsidRPr="378F8E85">
        <w:rPr>
          <w:lang w:val="en-GB"/>
        </w:rPr>
        <w:t xml:space="preserve"> as per</w:t>
      </w:r>
      <w:r>
        <w:rPr>
          <w:lang w:val="en-GB"/>
        </w:rPr>
        <w:t xml:space="preserve"> recommendations 11.12 and 11.13 of the DRC and</w:t>
      </w:r>
      <w:r w:rsidRPr="378F8E85">
        <w:rPr>
          <w:lang w:val="en-GB"/>
        </w:rPr>
        <w:t xml:space="preserve"> recommendation 5 of the Taskforce Advice.</w:t>
      </w:r>
    </w:p>
    <w:p w14:paraId="5E081BD9" w14:textId="3BABF221" w:rsidR="008857AD" w:rsidRPr="00AB480C" w:rsidRDefault="00F70A19" w:rsidP="009C3FFF">
      <w:pPr>
        <w:pStyle w:val="QIDANParagraph"/>
        <w:numPr>
          <w:ilvl w:val="0"/>
          <w:numId w:val="7"/>
        </w:numPr>
        <w:ind w:left="426" w:hanging="426"/>
      </w:pPr>
      <w:r>
        <w:t>Ensure that t</w:t>
      </w:r>
      <w:r w:rsidR="00AF5994">
        <w:t xml:space="preserve">he development of the </w:t>
      </w:r>
      <w:r w:rsidR="00DB7FE2">
        <w:t>F</w:t>
      </w:r>
      <w:r w:rsidR="00AF5994">
        <w:t xml:space="preserve">ramework and </w:t>
      </w:r>
      <w:r w:rsidR="00DB7FE2">
        <w:t>S</w:t>
      </w:r>
      <w:r w:rsidR="00611F8C">
        <w:t xml:space="preserve">trategy </w:t>
      </w:r>
      <w:r>
        <w:t>is</w:t>
      </w:r>
      <w:r w:rsidR="00611F8C">
        <w:t xml:space="preserve"> disability led. </w:t>
      </w:r>
      <w:r w:rsidR="008857AD" w:rsidRPr="00A334B8">
        <w:t xml:space="preserve">There must be meaningful and genuine engagement with people with disability, </w:t>
      </w:r>
      <w:r w:rsidR="008857AD" w:rsidRPr="00AB480C">
        <w:t xml:space="preserve">including First Nations people, those from culturally and linguistically diverse backgrounds, and </w:t>
      </w:r>
      <w:r w:rsidR="00DB7FE2" w:rsidRPr="00AB480C">
        <w:t>people</w:t>
      </w:r>
      <w:r w:rsidR="008857AD" w:rsidRPr="00AB480C">
        <w:t xml:space="preserve"> from LGBT</w:t>
      </w:r>
      <w:r w:rsidR="00361EE3">
        <w:t>Q</w:t>
      </w:r>
      <w:r w:rsidR="008857AD" w:rsidRPr="00AB480C">
        <w:t>IA+</w:t>
      </w:r>
      <w:r w:rsidR="00560FED">
        <w:t>SB</w:t>
      </w:r>
      <w:r w:rsidR="008857AD" w:rsidRPr="00AB480C">
        <w:t xml:space="preserve"> communities</w:t>
      </w:r>
      <w:r w:rsidR="00DB7FE2" w:rsidRPr="00AB480C">
        <w:t>.</w:t>
      </w:r>
    </w:p>
    <w:p w14:paraId="68602EF9" w14:textId="43283779" w:rsidR="00797A32" w:rsidRPr="00AB480C" w:rsidRDefault="002D4087" w:rsidP="00777C67">
      <w:pPr>
        <w:pStyle w:val="QIDANParagraph"/>
        <w:numPr>
          <w:ilvl w:val="0"/>
          <w:numId w:val="7"/>
        </w:numPr>
        <w:ind w:left="426" w:hanging="426"/>
      </w:pPr>
      <w:r>
        <w:t>Embed</w:t>
      </w:r>
      <w:r w:rsidR="00066AB4">
        <w:t xml:space="preserve"> </w:t>
      </w:r>
      <w:r>
        <w:t>e</w:t>
      </w:r>
      <w:r w:rsidR="00E345B7" w:rsidRPr="00AB480C">
        <w:t>nforce</w:t>
      </w:r>
      <w:r>
        <w:t>ment mechanisms in</w:t>
      </w:r>
      <w:r w:rsidR="00E345B7" w:rsidRPr="00AB480C">
        <w:t xml:space="preserve"> the Framework and Strategy to enhance accountability</w:t>
      </w:r>
      <w:r w:rsidR="00AB480C" w:rsidRPr="00AB480C">
        <w:t>.</w:t>
      </w:r>
    </w:p>
    <w:p w14:paraId="70F3E68F" w14:textId="538D54EB" w:rsidR="003845F4" w:rsidRDefault="009234CA" w:rsidP="00A95895">
      <w:pPr>
        <w:pStyle w:val="Heading1"/>
        <w:rPr>
          <w:rFonts w:ascii="Nunito Sans" w:hAnsi="Nunito Sans"/>
          <w:b/>
          <w:bCs/>
          <w:color w:val="690048"/>
          <w:sz w:val="28"/>
          <w:szCs w:val="28"/>
        </w:rPr>
      </w:pPr>
      <w:bookmarkStart w:id="3" w:name="_Toc216981087"/>
      <w:r>
        <w:rPr>
          <w:rFonts w:ascii="Nunito Sans" w:hAnsi="Nunito Sans"/>
          <w:b/>
          <w:bCs/>
          <w:color w:val="690048"/>
          <w:sz w:val="28"/>
          <w:szCs w:val="28"/>
        </w:rPr>
        <w:lastRenderedPageBreak/>
        <w:t>Safeguards and quality can be as diverse as disability is</w:t>
      </w:r>
      <w:bookmarkEnd w:id="3"/>
    </w:p>
    <w:p w14:paraId="2D09B409" w14:textId="5E76C18C" w:rsidR="00A95895" w:rsidRPr="0009682E" w:rsidRDefault="00D84313" w:rsidP="0009682E">
      <w:pPr>
        <w:pStyle w:val="QIDANParagraph"/>
      </w:pPr>
      <w:r w:rsidRPr="0009682E">
        <w:t xml:space="preserve">This section </w:t>
      </w:r>
      <w:r w:rsidR="000A01FE" w:rsidRPr="0009682E">
        <w:t xml:space="preserve">covers questions 1 to </w:t>
      </w:r>
      <w:r w:rsidR="00DA4898">
        <w:t>10</w:t>
      </w:r>
      <w:r w:rsidR="000A01FE" w:rsidRPr="0009682E">
        <w:t xml:space="preserve"> of the Consultation Paper.</w:t>
      </w:r>
    </w:p>
    <w:p w14:paraId="35811676" w14:textId="41CB51D3" w:rsidR="00AD2038" w:rsidRDefault="004C0832" w:rsidP="0009682E">
      <w:pPr>
        <w:pStyle w:val="QIDANParagraph"/>
        <w:rPr>
          <w:lang w:val="en-GB"/>
        </w:rPr>
      </w:pPr>
      <w:r w:rsidRPr="4534121E">
        <w:rPr>
          <w:lang w:val="en-GB"/>
        </w:rPr>
        <w:t xml:space="preserve">Although we generally agree with the definitions of safeguards and </w:t>
      </w:r>
      <w:r w:rsidR="00550FC7" w:rsidRPr="4534121E">
        <w:rPr>
          <w:lang w:val="en-GB"/>
        </w:rPr>
        <w:t>quality provided in the consultation paper, t</w:t>
      </w:r>
      <w:r w:rsidR="00AD2038" w:rsidRPr="4534121E">
        <w:rPr>
          <w:lang w:val="en-GB"/>
        </w:rPr>
        <w:t>here is no one size fits all approach to “safeguards” or “quality”.</w:t>
      </w:r>
      <w:r w:rsidRPr="4534121E">
        <w:rPr>
          <w:lang w:val="en-GB"/>
        </w:rPr>
        <w:t xml:space="preserve"> </w:t>
      </w:r>
      <w:r w:rsidR="00AD2038" w:rsidRPr="4534121E">
        <w:rPr>
          <w:lang w:val="en-GB"/>
        </w:rPr>
        <w:t xml:space="preserve">The Framework and Strategy must acknowledge that effective safeguards and quality supports will look different depending on the needs and expectations of the person with disability, especially for </w:t>
      </w:r>
      <w:r w:rsidR="009234CA" w:rsidRPr="4534121E">
        <w:rPr>
          <w:lang w:val="en-GB"/>
        </w:rPr>
        <w:t>Aboriginal and / or Torres Strait Islander</w:t>
      </w:r>
      <w:r w:rsidR="00897D34" w:rsidRPr="4534121E">
        <w:rPr>
          <w:lang w:val="en-GB"/>
        </w:rPr>
        <w:t xml:space="preserve"> people</w:t>
      </w:r>
      <w:r w:rsidR="00AD2038" w:rsidRPr="4534121E">
        <w:rPr>
          <w:lang w:val="en-GB"/>
        </w:rPr>
        <w:t xml:space="preserve">, </w:t>
      </w:r>
      <w:r w:rsidR="00897D34" w:rsidRPr="4534121E">
        <w:rPr>
          <w:lang w:val="en-GB"/>
        </w:rPr>
        <w:t xml:space="preserve">people from </w:t>
      </w:r>
      <w:r w:rsidR="00AD2038" w:rsidRPr="4534121E">
        <w:rPr>
          <w:lang w:val="en-GB"/>
        </w:rPr>
        <w:t>culturally and linguistically diverse</w:t>
      </w:r>
      <w:r w:rsidR="00897D34" w:rsidRPr="4534121E">
        <w:rPr>
          <w:lang w:val="en-GB"/>
        </w:rPr>
        <w:t xml:space="preserve"> backgrounds</w:t>
      </w:r>
      <w:r w:rsidR="00AD2038" w:rsidRPr="4534121E">
        <w:rPr>
          <w:lang w:val="en-GB"/>
        </w:rPr>
        <w:t xml:space="preserve"> and LGBTQ</w:t>
      </w:r>
      <w:r w:rsidR="00361EE3">
        <w:rPr>
          <w:lang w:val="en-GB"/>
        </w:rPr>
        <w:t>I</w:t>
      </w:r>
      <w:r w:rsidR="00AD2038" w:rsidRPr="4534121E">
        <w:rPr>
          <w:lang w:val="en-GB"/>
        </w:rPr>
        <w:t>A+</w:t>
      </w:r>
      <w:r w:rsidR="00897D34" w:rsidRPr="4534121E">
        <w:rPr>
          <w:lang w:val="en-GB"/>
        </w:rPr>
        <w:t>SB</w:t>
      </w:r>
      <w:r w:rsidR="00AD2038" w:rsidRPr="4534121E">
        <w:rPr>
          <w:lang w:val="en-GB"/>
        </w:rPr>
        <w:t xml:space="preserve"> people with disability. QIDAN is of the opinion that the current definitions of these terms are missing the crucial elements of flexibility and cultural safety and should be amended to reflect the importance of these principles. However, merely changing definitions in the absence of action to substantiate what cultural safety and flexibility means for different groups of people with disability is redundant.</w:t>
      </w:r>
      <w:r w:rsidR="009D57B5" w:rsidRPr="4534121E">
        <w:rPr>
          <w:lang w:val="en-GB"/>
        </w:rPr>
        <w:t xml:space="preserve"> </w:t>
      </w:r>
      <w:r w:rsidR="00B43966" w:rsidRPr="4534121E">
        <w:rPr>
          <w:lang w:val="en-GB"/>
        </w:rPr>
        <w:t xml:space="preserve">Therefore, these two elements must be </w:t>
      </w:r>
      <w:r w:rsidR="006A2092" w:rsidRPr="4534121E">
        <w:rPr>
          <w:lang w:val="en-GB"/>
        </w:rPr>
        <w:t xml:space="preserve">included in everyday </w:t>
      </w:r>
      <w:r w:rsidR="007E1850" w:rsidRPr="4534121E">
        <w:rPr>
          <w:lang w:val="en-GB"/>
        </w:rPr>
        <w:t>conversations,</w:t>
      </w:r>
      <w:r w:rsidR="006A2092" w:rsidRPr="4534121E">
        <w:rPr>
          <w:lang w:val="en-GB"/>
        </w:rPr>
        <w:t xml:space="preserve"> and their definitions </w:t>
      </w:r>
      <w:r w:rsidR="005D523B" w:rsidRPr="4534121E">
        <w:rPr>
          <w:lang w:val="en-GB"/>
        </w:rPr>
        <w:t xml:space="preserve">will be always evolving based on </w:t>
      </w:r>
      <w:r w:rsidR="00616C9B">
        <w:rPr>
          <w:lang w:val="en-GB"/>
        </w:rPr>
        <w:t>individual and community</w:t>
      </w:r>
      <w:r w:rsidR="005D523B" w:rsidRPr="4534121E">
        <w:rPr>
          <w:lang w:val="en-GB"/>
        </w:rPr>
        <w:t xml:space="preserve"> needs and preferences.</w:t>
      </w:r>
      <w:r w:rsidR="00AD2038" w:rsidRPr="4534121E">
        <w:rPr>
          <w:lang w:val="en-GB"/>
        </w:rPr>
        <w:t xml:space="preserve"> </w:t>
      </w:r>
    </w:p>
    <w:p w14:paraId="76E04702" w14:textId="00987766" w:rsidR="0058425B" w:rsidRDefault="0058425B" w:rsidP="0009682E">
      <w:pPr>
        <w:pStyle w:val="QIDANParagraph"/>
        <w:rPr>
          <w:lang w:val="en-GB"/>
        </w:rPr>
      </w:pPr>
      <w:r>
        <w:rPr>
          <w:lang w:val="en-GB"/>
        </w:rPr>
        <w:t xml:space="preserve">Social support networks </w:t>
      </w:r>
      <w:r w:rsidR="0064633C">
        <w:rPr>
          <w:lang w:val="en-GB"/>
        </w:rPr>
        <w:t>increase</w:t>
      </w:r>
      <w:r w:rsidR="00E27398">
        <w:rPr>
          <w:lang w:val="en-GB"/>
        </w:rPr>
        <w:t xml:space="preserve"> connections, relationships and visibility in the wider community. They can be seen as</w:t>
      </w:r>
      <w:r w:rsidR="00F10DA5">
        <w:rPr>
          <w:lang w:val="en-GB"/>
        </w:rPr>
        <w:t xml:space="preserve"> informal or natural safeguards, and they are </w:t>
      </w:r>
      <w:r w:rsidR="00E827E5">
        <w:rPr>
          <w:lang w:val="en-GB"/>
        </w:rPr>
        <w:t>extremely</w:t>
      </w:r>
      <w:r w:rsidR="00F10DA5">
        <w:rPr>
          <w:lang w:val="en-GB"/>
        </w:rPr>
        <w:t xml:space="preserve"> valuable and important</w:t>
      </w:r>
      <w:r w:rsidR="00202FEF">
        <w:rPr>
          <w:lang w:val="en-GB"/>
        </w:rPr>
        <w:t xml:space="preserve"> to help people understand </w:t>
      </w:r>
      <w:r w:rsidR="00025CD4">
        <w:rPr>
          <w:lang w:val="en-GB"/>
        </w:rPr>
        <w:t>what</w:t>
      </w:r>
      <w:r w:rsidR="00202FEF">
        <w:rPr>
          <w:lang w:val="en-GB"/>
        </w:rPr>
        <w:t xml:space="preserve"> safeguards means and what </w:t>
      </w:r>
      <w:r w:rsidR="002F06D5">
        <w:rPr>
          <w:lang w:val="en-GB"/>
        </w:rPr>
        <w:t xml:space="preserve">a good quality means to them. It may involve a gradual and slow process of understanding each person's </w:t>
      </w:r>
      <w:r w:rsidR="00A96C10">
        <w:rPr>
          <w:lang w:val="en-GB"/>
        </w:rPr>
        <w:t xml:space="preserve">wishes and choices. </w:t>
      </w:r>
    </w:p>
    <w:p w14:paraId="344773FA" w14:textId="28505328" w:rsidR="00AD2038" w:rsidRPr="0009682E" w:rsidRDefault="006473E2" w:rsidP="00EC0B39">
      <w:pPr>
        <w:pStyle w:val="QIDANParagraph"/>
        <w:spacing w:after="120"/>
      </w:pPr>
      <w:r>
        <w:rPr>
          <w:lang w:val="en-GB"/>
        </w:rPr>
        <w:t xml:space="preserve">However, in many cases people with disability do not have natural safeguards in place, therefore </w:t>
      </w:r>
      <w:r w:rsidR="002B685C">
        <w:rPr>
          <w:lang w:val="en-GB"/>
        </w:rPr>
        <w:t>a m</w:t>
      </w:r>
      <w:r w:rsidR="000369AA">
        <w:rPr>
          <w:lang w:val="en-GB"/>
        </w:rPr>
        <w:tab/>
      </w:r>
      <w:r w:rsidR="002B685C">
        <w:rPr>
          <w:lang w:val="en-GB"/>
        </w:rPr>
        <w:t xml:space="preserve">ore formal model of safeguards must be </w:t>
      </w:r>
      <w:r w:rsidR="00A55B55">
        <w:rPr>
          <w:lang w:val="en-GB"/>
        </w:rPr>
        <w:t>established</w:t>
      </w:r>
      <w:r w:rsidR="002B685C">
        <w:rPr>
          <w:lang w:val="en-GB"/>
        </w:rPr>
        <w:t xml:space="preserve">. </w:t>
      </w:r>
      <w:r w:rsidR="00055F35">
        <w:rPr>
          <w:lang w:val="en-GB"/>
        </w:rPr>
        <w:t xml:space="preserve">For people with disability who have access to NDIS, the NDIS Commission </w:t>
      </w:r>
      <w:r w:rsidR="00D82846">
        <w:rPr>
          <w:lang w:val="en-GB"/>
        </w:rPr>
        <w:t xml:space="preserve">monitors NDIS providers and their compliance with the </w:t>
      </w:r>
      <w:r w:rsidR="007032D1">
        <w:rPr>
          <w:lang w:val="en-GB"/>
        </w:rPr>
        <w:t xml:space="preserve">relevant regulations and rules. </w:t>
      </w:r>
      <w:r w:rsidR="00C364D3">
        <w:rPr>
          <w:lang w:val="en-GB"/>
        </w:rPr>
        <w:t>F</w:t>
      </w:r>
      <w:r w:rsidR="007032D1">
        <w:rPr>
          <w:lang w:val="en-GB"/>
        </w:rPr>
        <w:t xml:space="preserve">or those who have no access to the NDIS or are not eligible for it, </w:t>
      </w:r>
      <w:r w:rsidR="00B87679">
        <w:rPr>
          <w:lang w:val="en-GB"/>
        </w:rPr>
        <w:t>there are very limited formal supports available to them</w:t>
      </w:r>
      <w:r w:rsidR="004D33A8">
        <w:rPr>
          <w:lang w:val="en-GB"/>
        </w:rPr>
        <w:t xml:space="preserve">, resulting in </w:t>
      </w:r>
      <w:r w:rsidR="006751FB">
        <w:rPr>
          <w:lang w:val="en-GB"/>
        </w:rPr>
        <w:t xml:space="preserve">the potential for </w:t>
      </w:r>
      <w:r w:rsidR="004D33A8">
        <w:rPr>
          <w:lang w:val="en-GB"/>
        </w:rPr>
        <w:t>even higher risk</w:t>
      </w:r>
      <w:r w:rsidR="006751FB">
        <w:rPr>
          <w:lang w:val="en-GB"/>
        </w:rPr>
        <w:t>s</w:t>
      </w:r>
      <w:r w:rsidR="004D33A8">
        <w:rPr>
          <w:lang w:val="en-GB"/>
        </w:rPr>
        <w:t xml:space="preserve"> of harm, abuse and exploitation.</w:t>
      </w:r>
      <w:r w:rsidR="006F36D5">
        <w:rPr>
          <w:lang w:val="en-GB"/>
        </w:rPr>
        <w:t xml:space="preserve"> With</w:t>
      </w:r>
      <w:r w:rsidR="00C364D3">
        <w:rPr>
          <w:lang w:val="en-GB"/>
        </w:rPr>
        <w:t xml:space="preserve"> very limited access to disability services, people with disability </w:t>
      </w:r>
      <w:r w:rsidR="00BA74AB">
        <w:rPr>
          <w:lang w:val="en-GB"/>
        </w:rPr>
        <w:t xml:space="preserve">often find themselves </w:t>
      </w:r>
      <w:r w:rsidR="006035E1">
        <w:rPr>
          <w:lang w:val="en-GB"/>
        </w:rPr>
        <w:t>with limited choices about their supports</w:t>
      </w:r>
      <w:r w:rsidR="00BA4D8D">
        <w:rPr>
          <w:lang w:val="en-GB"/>
        </w:rPr>
        <w:t xml:space="preserve">. </w:t>
      </w:r>
      <w:r w:rsidR="005E3DE0">
        <w:rPr>
          <w:lang w:val="en-GB"/>
        </w:rPr>
        <w:t xml:space="preserve">This is </w:t>
      </w:r>
      <w:r w:rsidR="00497AE9">
        <w:rPr>
          <w:lang w:val="en-GB"/>
        </w:rPr>
        <w:t>often</w:t>
      </w:r>
      <w:r w:rsidR="005E3DE0">
        <w:rPr>
          <w:lang w:val="en-GB"/>
        </w:rPr>
        <w:t xml:space="preserve"> the case </w:t>
      </w:r>
      <w:r w:rsidR="00497AE9">
        <w:rPr>
          <w:lang w:val="en-GB"/>
        </w:rPr>
        <w:t>for</w:t>
      </w:r>
      <w:r w:rsidR="005E3DE0">
        <w:rPr>
          <w:lang w:val="en-GB"/>
        </w:rPr>
        <w:t xml:space="preserve"> </w:t>
      </w:r>
      <w:r w:rsidR="002E65CA">
        <w:rPr>
          <w:lang w:val="en-GB"/>
        </w:rPr>
        <w:t xml:space="preserve">people living in residential services, who are grateful for having a roof over their heads, but are </w:t>
      </w:r>
      <w:r w:rsidR="000E494D">
        <w:rPr>
          <w:lang w:val="en-GB"/>
        </w:rPr>
        <w:t xml:space="preserve">hardly receiving </w:t>
      </w:r>
      <w:r w:rsidR="000E494D">
        <w:rPr>
          <w:lang w:val="en-GB"/>
        </w:rPr>
        <w:lastRenderedPageBreak/>
        <w:t>adequate or quality supports.</w:t>
      </w:r>
      <w:r w:rsidR="0095275A">
        <w:rPr>
          <w:rStyle w:val="FootnoteReference"/>
          <w:lang w:val="en-GB"/>
        </w:rPr>
        <w:footnoteReference w:id="5"/>
      </w:r>
      <w:r w:rsidR="000E494D">
        <w:rPr>
          <w:lang w:val="en-GB"/>
        </w:rPr>
        <w:t xml:space="preserve"> </w:t>
      </w:r>
      <w:r w:rsidR="00501174">
        <w:rPr>
          <w:lang w:val="en-GB"/>
        </w:rPr>
        <w:t xml:space="preserve">In these </w:t>
      </w:r>
      <w:r w:rsidR="005D3601">
        <w:rPr>
          <w:lang w:val="en-GB"/>
        </w:rPr>
        <w:t>instances</w:t>
      </w:r>
      <w:r w:rsidR="00501174">
        <w:rPr>
          <w:lang w:val="en-GB"/>
        </w:rPr>
        <w:t xml:space="preserve">, people can only shape their support system if there is a </w:t>
      </w:r>
      <w:r w:rsidR="00501174" w:rsidRPr="00CD311C">
        <w:t xml:space="preserve">comprehensive and integrated response </w:t>
      </w:r>
      <w:r w:rsidR="005D3601">
        <w:t xml:space="preserve">that </w:t>
      </w:r>
      <w:r w:rsidR="00501174" w:rsidRPr="00CD311C">
        <w:t>provide</w:t>
      </w:r>
      <w:r w:rsidR="005D3601">
        <w:t>s</w:t>
      </w:r>
      <w:r w:rsidR="00501174" w:rsidRPr="00CD311C">
        <w:t xml:space="preserve"> wrap-around supports for people </w:t>
      </w:r>
      <w:r w:rsidR="00501174">
        <w:t>who cannot access the NDIS</w:t>
      </w:r>
      <w:r w:rsidR="00501174" w:rsidRPr="00CD311C">
        <w:t>.</w:t>
      </w:r>
      <w:r w:rsidR="00501174">
        <w:t xml:space="preserve"> This may be delivered through Foundational Supports</w:t>
      </w:r>
      <w:r w:rsidR="00EC0B39">
        <w:t xml:space="preserve">, which needs to be established as a matter of urgency. </w:t>
      </w:r>
    </w:p>
    <w:p w14:paraId="08936932" w14:textId="15BA6C3C" w:rsidR="00B97688" w:rsidRPr="0012074C" w:rsidRDefault="00B97688" w:rsidP="00B97688">
      <w:pPr>
        <w:pStyle w:val="QIDANParagraph"/>
        <w:rPr>
          <w:b/>
          <w:bCs/>
          <w:color w:val="690048"/>
        </w:rPr>
      </w:pPr>
      <w:r w:rsidRPr="0012074C">
        <w:rPr>
          <w:b/>
          <w:bCs/>
          <w:color w:val="690048"/>
        </w:rPr>
        <w:t xml:space="preserve">People with disability must be supported to </w:t>
      </w:r>
      <w:r w:rsidR="0012074C">
        <w:rPr>
          <w:b/>
          <w:bCs/>
          <w:color w:val="690048"/>
        </w:rPr>
        <w:t>make their own decisions</w:t>
      </w:r>
    </w:p>
    <w:p w14:paraId="1B1FBD16" w14:textId="59309D7A" w:rsidR="005C7799" w:rsidRDefault="00B97688" w:rsidP="00B97688">
      <w:pPr>
        <w:spacing w:line="360" w:lineRule="auto"/>
        <w:rPr>
          <w:rFonts w:ascii="Nunito Sans" w:hAnsi="Nunito Sans"/>
          <w:szCs w:val="20"/>
          <w:lang w:val="en-AU"/>
        </w:rPr>
      </w:pPr>
      <w:r>
        <w:rPr>
          <w:rFonts w:ascii="Nunito Sans" w:hAnsi="Nunito Sans"/>
          <w:szCs w:val="20"/>
          <w:lang w:val="en-AU"/>
        </w:rPr>
        <w:t>Supported decision-making is fundamental to effective safeguarding</w:t>
      </w:r>
      <w:r w:rsidR="0019413C">
        <w:rPr>
          <w:rFonts w:ascii="Nunito Sans" w:hAnsi="Nunito Sans"/>
          <w:szCs w:val="20"/>
          <w:lang w:val="en-AU"/>
        </w:rPr>
        <w:t xml:space="preserve"> as it</w:t>
      </w:r>
      <w:r w:rsidR="00E62B3F">
        <w:rPr>
          <w:rFonts w:ascii="Nunito Sans" w:hAnsi="Nunito Sans"/>
          <w:szCs w:val="20"/>
          <w:lang w:val="en-AU"/>
        </w:rPr>
        <w:t xml:space="preserve"> helps people make everyday life decisions including </w:t>
      </w:r>
      <w:r w:rsidR="005D3601">
        <w:rPr>
          <w:rFonts w:ascii="Nunito Sans" w:hAnsi="Nunito Sans"/>
          <w:szCs w:val="20"/>
          <w:lang w:val="en-AU"/>
        </w:rPr>
        <w:t>the</w:t>
      </w:r>
      <w:r w:rsidR="00E62B3F">
        <w:rPr>
          <w:rFonts w:ascii="Nunito Sans" w:hAnsi="Nunito Sans"/>
          <w:szCs w:val="20"/>
          <w:lang w:val="en-AU"/>
        </w:rPr>
        <w:t xml:space="preserve"> services they receive, in what way and </w:t>
      </w:r>
      <w:r w:rsidR="005D3601">
        <w:rPr>
          <w:rFonts w:ascii="Nunito Sans" w:hAnsi="Nunito Sans"/>
          <w:szCs w:val="20"/>
          <w:lang w:val="en-AU"/>
        </w:rPr>
        <w:t>by</w:t>
      </w:r>
      <w:r w:rsidR="00E62B3F">
        <w:rPr>
          <w:rFonts w:ascii="Nunito Sans" w:hAnsi="Nunito Sans"/>
          <w:szCs w:val="20"/>
          <w:lang w:val="en-AU"/>
        </w:rPr>
        <w:t xml:space="preserve"> whom.</w:t>
      </w:r>
      <w:r w:rsidR="00722D02">
        <w:rPr>
          <w:rFonts w:ascii="Nunito Sans" w:hAnsi="Nunito Sans"/>
          <w:szCs w:val="20"/>
          <w:lang w:val="en-AU"/>
        </w:rPr>
        <w:t xml:space="preserve"> By receiving support to make their own decisions, people with disability </w:t>
      </w:r>
      <w:r w:rsidR="006E1A93">
        <w:rPr>
          <w:rFonts w:ascii="Nunito Sans" w:hAnsi="Nunito Sans"/>
          <w:szCs w:val="20"/>
          <w:lang w:val="en-AU"/>
        </w:rPr>
        <w:t>can choose their own goals and aspiratio</w:t>
      </w:r>
      <w:r w:rsidR="008944CB">
        <w:rPr>
          <w:rFonts w:ascii="Nunito Sans" w:hAnsi="Nunito Sans"/>
          <w:szCs w:val="20"/>
          <w:lang w:val="en-AU"/>
        </w:rPr>
        <w:t xml:space="preserve">ns and communicate their will and preferences, and they will know when a supporter is not the right fit to </w:t>
      </w:r>
      <w:r w:rsidR="00663FF9">
        <w:rPr>
          <w:rFonts w:ascii="Nunito Sans" w:hAnsi="Nunito Sans"/>
          <w:szCs w:val="20"/>
          <w:lang w:val="en-AU"/>
        </w:rPr>
        <w:t>help them achieve such objectives.</w:t>
      </w:r>
      <w:r>
        <w:rPr>
          <w:rFonts w:ascii="Nunito Sans" w:hAnsi="Nunito Sans"/>
          <w:szCs w:val="20"/>
          <w:lang w:val="en-AU"/>
        </w:rPr>
        <w:t xml:space="preserve"> It not only assists people with disability to make informed decisions, but it builds the capacity of the person’s informal support network to ensure that the person receives tailored and quality supports that truly reflect the person’s supports and wishes. In practice, supported-decision making may look slightly different depending on the decision that needs to be made</w:t>
      </w:r>
      <w:r w:rsidR="007D4C57">
        <w:rPr>
          <w:rFonts w:ascii="Nunito Sans" w:hAnsi="Nunito Sans"/>
          <w:szCs w:val="20"/>
          <w:lang w:val="en-AU"/>
        </w:rPr>
        <w:t>. It</w:t>
      </w:r>
      <w:r w:rsidR="00C049A0">
        <w:rPr>
          <w:rFonts w:ascii="Nunito Sans" w:hAnsi="Nunito Sans"/>
          <w:szCs w:val="20"/>
          <w:lang w:val="en-AU"/>
        </w:rPr>
        <w:t xml:space="preserve"> should have general principles</w:t>
      </w:r>
      <w:r w:rsidR="005C7799">
        <w:rPr>
          <w:rFonts w:ascii="Nunito Sans" w:hAnsi="Nunito Sans"/>
          <w:szCs w:val="20"/>
          <w:lang w:val="en-AU"/>
        </w:rPr>
        <w:t xml:space="preserve"> as per</w:t>
      </w:r>
      <w:r w:rsidR="00B83E0F">
        <w:rPr>
          <w:rFonts w:ascii="Nunito Sans" w:hAnsi="Nunito Sans"/>
          <w:szCs w:val="20"/>
          <w:lang w:val="en-AU"/>
        </w:rPr>
        <w:t xml:space="preserve"> the suggestion below adapted from</w:t>
      </w:r>
      <w:r w:rsidR="005C7799">
        <w:rPr>
          <w:rFonts w:ascii="Nunito Sans" w:hAnsi="Nunito Sans"/>
          <w:szCs w:val="20"/>
          <w:lang w:val="en-AU"/>
        </w:rPr>
        <w:t xml:space="preserve"> the DRC recommendation 6.6:</w:t>
      </w:r>
    </w:p>
    <w:p w14:paraId="0E596877" w14:textId="660BF968" w:rsidR="005C7799" w:rsidRPr="00417D71" w:rsidRDefault="00691EEE" w:rsidP="00417D71">
      <w:pPr>
        <w:pStyle w:val="ListParagraph"/>
        <w:numPr>
          <w:ilvl w:val="0"/>
          <w:numId w:val="15"/>
        </w:numPr>
        <w:spacing w:line="360" w:lineRule="auto"/>
        <w:rPr>
          <w:rFonts w:ascii="Nunito Sans" w:hAnsi="Nunito Sans"/>
          <w:szCs w:val="20"/>
          <w:lang w:val="en-AU"/>
        </w:rPr>
      </w:pPr>
      <w:r w:rsidRPr="00417D71">
        <w:rPr>
          <w:rFonts w:ascii="Nunito Sans" w:hAnsi="Nunito Sans"/>
          <w:szCs w:val="20"/>
          <w:lang w:val="en-AU"/>
        </w:rPr>
        <w:t>Recognition of the equal right to make decisions</w:t>
      </w:r>
    </w:p>
    <w:p w14:paraId="6EA3A617" w14:textId="6C7EEBB1" w:rsidR="00691EEE" w:rsidRPr="00417D71" w:rsidRDefault="00691EEE" w:rsidP="00417D71">
      <w:pPr>
        <w:pStyle w:val="ListParagraph"/>
        <w:numPr>
          <w:ilvl w:val="0"/>
          <w:numId w:val="15"/>
        </w:numPr>
        <w:spacing w:line="360" w:lineRule="auto"/>
        <w:rPr>
          <w:rFonts w:ascii="Nunito Sans" w:hAnsi="Nunito Sans"/>
          <w:szCs w:val="20"/>
          <w:lang w:val="en-AU"/>
        </w:rPr>
      </w:pPr>
      <w:r w:rsidRPr="00417D71">
        <w:rPr>
          <w:rFonts w:ascii="Nunito Sans" w:hAnsi="Nunito Sans"/>
          <w:szCs w:val="20"/>
          <w:lang w:val="en-AU"/>
        </w:rPr>
        <w:t>Presumption of decision-making ability</w:t>
      </w:r>
    </w:p>
    <w:p w14:paraId="0E9976C8" w14:textId="06DF95A6" w:rsidR="00691EEE" w:rsidRPr="00417D71" w:rsidRDefault="00691EEE" w:rsidP="00417D71">
      <w:pPr>
        <w:pStyle w:val="ListParagraph"/>
        <w:numPr>
          <w:ilvl w:val="0"/>
          <w:numId w:val="15"/>
        </w:numPr>
        <w:spacing w:line="360" w:lineRule="auto"/>
        <w:rPr>
          <w:rFonts w:ascii="Nunito Sans" w:hAnsi="Nunito Sans"/>
          <w:szCs w:val="20"/>
          <w:lang w:val="en-AU"/>
        </w:rPr>
      </w:pPr>
      <w:r w:rsidRPr="00417D71">
        <w:rPr>
          <w:rFonts w:ascii="Nunito Sans" w:hAnsi="Nunito Sans"/>
          <w:szCs w:val="20"/>
          <w:lang w:val="en-AU"/>
        </w:rPr>
        <w:t>Respect for dignity and dignity of risk</w:t>
      </w:r>
    </w:p>
    <w:p w14:paraId="2BE87D13" w14:textId="11C2CE3F" w:rsidR="00691EEE" w:rsidRPr="00417D71" w:rsidRDefault="00691EEE" w:rsidP="00417D71">
      <w:pPr>
        <w:pStyle w:val="ListParagraph"/>
        <w:numPr>
          <w:ilvl w:val="0"/>
          <w:numId w:val="15"/>
        </w:numPr>
        <w:spacing w:line="360" w:lineRule="auto"/>
        <w:rPr>
          <w:rFonts w:ascii="Nunito Sans" w:hAnsi="Nunito Sans"/>
          <w:szCs w:val="20"/>
          <w:lang w:val="en-AU"/>
        </w:rPr>
      </w:pPr>
      <w:r w:rsidRPr="00417D71">
        <w:rPr>
          <w:rFonts w:ascii="Nunito Sans" w:hAnsi="Nunito Sans"/>
          <w:szCs w:val="20"/>
          <w:lang w:val="en-AU"/>
        </w:rPr>
        <w:t>Recognition of informal support</w:t>
      </w:r>
      <w:r w:rsidR="003319D0" w:rsidRPr="00417D71">
        <w:rPr>
          <w:rFonts w:ascii="Nunito Sans" w:hAnsi="Nunito Sans"/>
          <w:szCs w:val="20"/>
          <w:lang w:val="en-AU"/>
        </w:rPr>
        <w:t>ers and advocates</w:t>
      </w:r>
    </w:p>
    <w:p w14:paraId="3087BEF8" w14:textId="79B91A9F" w:rsidR="003319D0" w:rsidRPr="00417D71" w:rsidRDefault="003319D0" w:rsidP="00417D71">
      <w:pPr>
        <w:pStyle w:val="ListParagraph"/>
        <w:numPr>
          <w:ilvl w:val="0"/>
          <w:numId w:val="15"/>
        </w:numPr>
        <w:spacing w:line="360" w:lineRule="auto"/>
        <w:rPr>
          <w:rFonts w:ascii="Nunito Sans" w:hAnsi="Nunito Sans"/>
          <w:szCs w:val="20"/>
          <w:lang w:val="en-AU"/>
        </w:rPr>
      </w:pPr>
      <w:r w:rsidRPr="00417D71">
        <w:rPr>
          <w:rFonts w:ascii="Nunito Sans" w:hAnsi="Nunito Sans"/>
          <w:szCs w:val="20"/>
          <w:lang w:val="en-AU"/>
        </w:rPr>
        <w:t>Access to supports</w:t>
      </w:r>
    </w:p>
    <w:p w14:paraId="0CCB44BE" w14:textId="04B622AB" w:rsidR="003319D0" w:rsidRPr="00417D71" w:rsidRDefault="003319D0" w:rsidP="00417D71">
      <w:pPr>
        <w:pStyle w:val="ListParagraph"/>
        <w:numPr>
          <w:ilvl w:val="0"/>
          <w:numId w:val="15"/>
        </w:numPr>
        <w:spacing w:line="360" w:lineRule="auto"/>
        <w:rPr>
          <w:rFonts w:ascii="Nunito Sans" w:hAnsi="Nunito Sans"/>
          <w:szCs w:val="20"/>
          <w:lang w:val="en-AU"/>
        </w:rPr>
      </w:pPr>
      <w:r w:rsidRPr="00417D71">
        <w:rPr>
          <w:rFonts w:ascii="Nunito Sans" w:hAnsi="Nunito Sans"/>
          <w:szCs w:val="20"/>
          <w:lang w:val="en-AU"/>
        </w:rPr>
        <w:t>Decision directed by will and preferences</w:t>
      </w:r>
    </w:p>
    <w:p w14:paraId="2DADF896" w14:textId="2B09A67E" w:rsidR="003319D0" w:rsidRPr="00417D71" w:rsidRDefault="003319D0" w:rsidP="00417D71">
      <w:pPr>
        <w:pStyle w:val="ListParagraph"/>
        <w:numPr>
          <w:ilvl w:val="0"/>
          <w:numId w:val="15"/>
        </w:numPr>
        <w:spacing w:line="360" w:lineRule="auto"/>
        <w:rPr>
          <w:rFonts w:ascii="Nunito Sans" w:hAnsi="Nunito Sans"/>
          <w:szCs w:val="20"/>
          <w:lang w:val="en-AU"/>
        </w:rPr>
      </w:pPr>
      <w:r w:rsidRPr="00417D71">
        <w:rPr>
          <w:rFonts w:ascii="Nunito Sans" w:hAnsi="Nunito Sans"/>
          <w:szCs w:val="20"/>
          <w:lang w:val="en-AU"/>
        </w:rPr>
        <w:t>Inclusion of safeguards</w:t>
      </w:r>
    </w:p>
    <w:p w14:paraId="55A69664" w14:textId="10AC336E" w:rsidR="00417D71" w:rsidRPr="00417D71" w:rsidRDefault="00417D71" w:rsidP="00417D71">
      <w:pPr>
        <w:pStyle w:val="ListParagraph"/>
        <w:numPr>
          <w:ilvl w:val="0"/>
          <w:numId w:val="15"/>
        </w:numPr>
        <w:spacing w:line="360" w:lineRule="auto"/>
        <w:rPr>
          <w:rFonts w:ascii="Nunito Sans" w:hAnsi="Nunito Sans"/>
          <w:szCs w:val="20"/>
          <w:lang w:val="en-AU"/>
        </w:rPr>
      </w:pPr>
      <w:r w:rsidRPr="00417D71">
        <w:rPr>
          <w:rFonts w:ascii="Nunito Sans" w:hAnsi="Nunito Sans"/>
          <w:szCs w:val="20"/>
          <w:lang w:val="en-AU"/>
        </w:rPr>
        <w:t>Recognition of diversity</w:t>
      </w:r>
    </w:p>
    <w:p w14:paraId="1321AF1C" w14:textId="088222CC" w:rsidR="00417D71" w:rsidRPr="00417D71" w:rsidRDefault="00417D71" w:rsidP="00417D71">
      <w:pPr>
        <w:pStyle w:val="ListParagraph"/>
        <w:numPr>
          <w:ilvl w:val="0"/>
          <w:numId w:val="15"/>
        </w:numPr>
        <w:spacing w:line="360" w:lineRule="auto"/>
        <w:rPr>
          <w:rFonts w:ascii="Nunito Sans" w:hAnsi="Nunito Sans"/>
          <w:szCs w:val="20"/>
          <w:lang w:val="en-AU"/>
        </w:rPr>
      </w:pPr>
      <w:r w:rsidRPr="00417D71">
        <w:rPr>
          <w:rFonts w:ascii="Nunito Sans" w:hAnsi="Nunito Sans"/>
          <w:szCs w:val="20"/>
          <w:lang w:val="en-AU"/>
        </w:rPr>
        <w:t>Cultural safety</w:t>
      </w:r>
    </w:p>
    <w:p w14:paraId="5603FA45" w14:textId="7F3E5D11" w:rsidR="00B97688" w:rsidRPr="002B2325" w:rsidRDefault="00417D71" w:rsidP="00B97688">
      <w:pPr>
        <w:spacing w:line="360" w:lineRule="auto"/>
        <w:rPr>
          <w:rFonts w:ascii="Nunito Sans" w:hAnsi="Nunito Sans"/>
          <w:szCs w:val="20"/>
          <w:lang w:val="en-AU"/>
        </w:rPr>
      </w:pPr>
      <w:r>
        <w:rPr>
          <w:rFonts w:ascii="Nunito Sans" w:hAnsi="Nunito Sans"/>
          <w:szCs w:val="20"/>
          <w:lang w:val="en-AU"/>
        </w:rPr>
        <w:t>In practice</w:t>
      </w:r>
      <w:r w:rsidR="00B97688">
        <w:rPr>
          <w:rFonts w:ascii="Nunito Sans" w:hAnsi="Nunito Sans"/>
          <w:szCs w:val="20"/>
          <w:lang w:val="en-AU"/>
        </w:rPr>
        <w:t xml:space="preserve">, supported decision-making in relation to NDIS services may include accessing information about different services and supporting the person to meet with different </w:t>
      </w:r>
      <w:r w:rsidR="00B97688">
        <w:rPr>
          <w:rFonts w:ascii="Nunito Sans" w:hAnsi="Nunito Sans"/>
          <w:szCs w:val="20"/>
          <w:lang w:val="en-AU"/>
        </w:rPr>
        <w:lastRenderedPageBreak/>
        <w:t>providers to find the best fit.</w:t>
      </w:r>
      <w:r w:rsidR="00B97688">
        <w:rPr>
          <w:rStyle w:val="FootnoteReference"/>
          <w:rFonts w:ascii="Nunito Sans" w:hAnsi="Nunito Sans"/>
          <w:szCs w:val="20"/>
          <w:lang w:val="en-AU"/>
        </w:rPr>
        <w:footnoteReference w:id="6"/>
      </w:r>
      <w:r w:rsidR="004B1262">
        <w:rPr>
          <w:rFonts w:ascii="Nunito Sans" w:hAnsi="Nunito Sans"/>
          <w:szCs w:val="20"/>
          <w:lang w:val="en-AU"/>
        </w:rPr>
        <w:t xml:space="preserve"> </w:t>
      </w:r>
      <w:r w:rsidR="00B97688">
        <w:rPr>
          <w:rFonts w:ascii="Nunito Sans" w:hAnsi="Nunito Sans"/>
          <w:szCs w:val="20"/>
          <w:lang w:val="en-AU"/>
        </w:rPr>
        <w:t>However, at every step of the way it ensures that the person with disability is empowered to make their own decisions and maximises autonomy.</w:t>
      </w:r>
      <w:r w:rsidR="00B97688">
        <w:rPr>
          <w:rStyle w:val="FootnoteReference"/>
          <w:rFonts w:ascii="Nunito Sans" w:hAnsi="Nunito Sans"/>
          <w:szCs w:val="20"/>
          <w:lang w:val="en-AU"/>
        </w:rPr>
        <w:footnoteReference w:id="7"/>
      </w:r>
    </w:p>
    <w:p w14:paraId="71A50719" w14:textId="3B5D0634" w:rsidR="00B97688" w:rsidRPr="002B2325" w:rsidRDefault="00437A62" w:rsidP="008B0A36">
      <w:pPr>
        <w:pStyle w:val="QIDANParagraph"/>
      </w:pPr>
      <w:r>
        <w:t>Disability a</w:t>
      </w:r>
      <w:r w:rsidR="00B97688" w:rsidRPr="002B2325">
        <w:t xml:space="preserve">dvocates are in a unique position to facilitate supported decision-making due to the inherent nature of </w:t>
      </w:r>
      <w:r>
        <w:t>our</w:t>
      </w:r>
      <w:r w:rsidR="00B97688" w:rsidRPr="002B2325">
        <w:t xml:space="preserve"> role. That is, advocates spend time building a</w:t>
      </w:r>
      <w:r>
        <w:t>n independent,</w:t>
      </w:r>
      <w:r w:rsidR="00B97688" w:rsidRPr="002B2325">
        <w:t xml:space="preserve"> respectful and professional relationship that prioritises deeply understanding </w:t>
      </w:r>
      <w:r>
        <w:t xml:space="preserve">of </w:t>
      </w:r>
      <w:r w:rsidR="00B97688" w:rsidRPr="002B2325">
        <w:t>the needs of the person with disability to ensure successful advocacy outcomes. This creates a safe space for advocates to empower people with disability through supported decision-making which includes honouring the dignity of risk. Disability advocates use a range of strategies that are recognised to increase decision-making capacity. For example, we seek to understand the person’s communication needs and assist them to receive information in accessible formats and we consider the decision-making history of the person, as well as any other expert or relevant information to the decision, such as its urgency, its sensitivity and/or whether the person is experiencing any personal issues that might impact their decision-making.</w:t>
      </w:r>
      <w:r w:rsidR="00B97688" w:rsidRPr="002B2325">
        <w:rPr>
          <w:rStyle w:val="FootnoteReference"/>
        </w:rPr>
        <w:footnoteReference w:id="8"/>
      </w:r>
      <w:r w:rsidR="00B97688" w:rsidRPr="002B2325">
        <w:t xml:space="preserve"> Disability advocates also recognise the importance of maintaining and preserving informal supportive arrangements, working collaboratively with a person’s chosen supports in accordance with </w:t>
      </w:r>
      <w:r w:rsidR="00C949A6">
        <w:t>their</w:t>
      </w:r>
      <w:r w:rsidR="00B97688" w:rsidRPr="002B2325">
        <w:t xml:space="preserve"> wishes.</w:t>
      </w:r>
      <w:r w:rsidR="00B97688" w:rsidRPr="002B2325">
        <w:rPr>
          <w:rStyle w:val="FootnoteReference"/>
        </w:rPr>
        <w:footnoteReference w:id="9"/>
      </w:r>
      <w:r w:rsidR="00926007">
        <w:t xml:space="preserve"> </w:t>
      </w:r>
    </w:p>
    <w:p w14:paraId="630E48B6" w14:textId="339DFEBC" w:rsidR="00B97688" w:rsidRPr="004E4842" w:rsidRDefault="00FA094C" w:rsidP="00B97688">
      <w:pPr>
        <w:spacing w:line="360" w:lineRule="auto"/>
        <w:rPr>
          <w:rFonts w:ascii="Nunito Sans" w:hAnsi="Nunito Sans"/>
          <w:szCs w:val="20"/>
          <w:lang w:val="en-AU"/>
        </w:rPr>
      </w:pPr>
      <w:r>
        <w:rPr>
          <w:rFonts w:ascii="Nunito Sans" w:hAnsi="Nunito Sans"/>
          <w:szCs w:val="20"/>
          <w:lang w:val="en-AU"/>
        </w:rPr>
        <w:t>Advocates can also be</w:t>
      </w:r>
      <w:r w:rsidR="00D11A50">
        <w:rPr>
          <w:rFonts w:ascii="Nunito Sans" w:hAnsi="Nunito Sans"/>
          <w:szCs w:val="20"/>
          <w:lang w:val="en-AU"/>
        </w:rPr>
        <w:t xml:space="preserve"> great facilitators of </w:t>
      </w:r>
      <w:r w:rsidR="00B97688" w:rsidRPr="004E4842">
        <w:rPr>
          <w:rFonts w:ascii="Nunito Sans" w:hAnsi="Nunito Sans"/>
          <w:szCs w:val="20"/>
          <w:lang w:val="en-AU"/>
        </w:rPr>
        <w:t xml:space="preserve">Circles of Support for people who require supported decision-making. </w:t>
      </w:r>
      <w:r w:rsidR="00691902">
        <w:rPr>
          <w:rFonts w:ascii="Nunito Sans" w:hAnsi="Nunito Sans"/>
          <w:szCs w:val="20"/>
          <w:lang w:val="en-AU"/>
        </w:rPr>
        <w:t xml:space="preserve">When there is sufficient funding </w:t>
      </w:r>
      <w:r w:rsidR="003241D8">
        <w:rPr>
          <w:rFonts w:ascii="Nunito Sans" w:hAnsi="Nunito Sans"/>
          <w:szCs w:val="20"/>
          <w:lang w:val="en-AU"/>
        </w:rPr>
        <w:t xml:space="preserve">for </w:t>
      </w:r>
      <w:proofErr w:type="gramStart"/>
      <w:r w:rsidR="003241D8">
        <w:rPr>
          <w:rFonts w:ascii="Nunito Sans" w:hAnsi="Nunito Sans"/>
          <w:szCs w:val="20"/>
          <w:lang w:val="en-AU"/>
        </w:rPr>
        <w:t>advocacy</w:t>
      </w:r>
      <w:proofErr w:type="gramEnd"/>
      <w:r w:rsidR="00D53E92">
        <w:rPr>
          <w:rFonts w:ascii="Nunito Sans" w:hAnsi="Nunito Sans"/>
          <w:szCs w:val="20"/>
          <w:lang w:val="en-AU"/>
        </w:rPr>
        <w:t xml:space="preserve"> they can </w:t>
      </w:r>
      <w:r w:rsidR="00FB1815">
        <w:rPr>
          <w:rFonts w:ascii="Nunito Sans" w:hAnsi="Nunito Sans"/>
          <w:szCs w:val="20"/>
          <w:lang w:val="en-AU"/>
        </w:rPr>
        <w:t>use</w:t>
      </w:r>
      <w:r w:rsidR="00B97688" w:rsidRPr="004E4842">
        <w:rPr>
          <w:rFonts w:ascii="Nunito Sans" w:hAnsi="Nunito Sans"/>
          <w:szCs w:val="20"/>
          <w:lang w:val="en-AU"/>
        </w:rPr>
        <w:t xml:space="preserve"> this model</w:t>
      </w:r>
      <w:r w:rsidR="00E61F39">
        <w:rPr>
          <w:rFonts w:ascii="Nunito Sans" w:hAnsi="Nunito Sans"/>
          <w:szCs w:val="20"/>
          <w:lang w:val="en-AU"/>
        </w:rPr>
        <w:t xml:space="preserve"> to support</w:t>
      </w:r>
      <w:r w:rsidR="00B97688" w:rsidRPr="004E4842">
        <w:rPr>
          <w:rFonts w:ascii="Nunito Sans" w:hAnsi="Nunito Sans"/>
          <w:szCs w:val="20"/>
          <w:lang w:val="en-AU"/>
        </w:rPr>
        <w:t xml:space="preserve"> the person </w:t>
      </w:r>
      <w:r w:rsidR="00E61F39">
        <w:rPr>
          <w:rFonts w:ascii="Nunito Sans" w:hAnsi="Nunito Sans"/>
          <w:szCs w:val="20"/>
          <w:lang w:val="en-AU"/>
        </w:rPr>
        <w:t xml:space="preserve">to </w:t>
      </w:r>
      <w:r w:rsidR="00B97688" w:rsidRPr="004E4842">
        <w:rPr>
          <w:rFonts w:ascii="Nunito Sans" w:hAnsi="Nunito Sans"/>
          <w:szCs w:val="20"/>
          <w:lang w:val="en-AU"/>
        </w:rPr>
        <w:t>cho</w:t>
      </w:r>
      <w:r w:rsidR="00E61F39">
        <w:rPr>
          <w:rFonts w:ascii="Nunito Sans" w:hAnsi="Nunito Sans"/>
          <w:szCs w:val="20"/>
          <w:lang w:val="en-AU"/>
        </w:rPr>
        <w:t>ose a</w:t>
      </w:r>
      <w:r w:rsidR="00B97688" w:rsidRPr="004E4842">
        <w:rPr>
          <w:rFonts w:ascii="Nunito Sans" w:hAnsi="Nunito Sans"/>
          <w:szCs w:val="20"/>
          <w:lang w:val="en-AU"/>
        </w:rPr>
        <w:t xml:space="preserve"> network of family, friends, and community members who can provide support depending on the type and context of the decision. Rather than relying on a single paid supporter, this approach builds the person’s own capacity and strengthens the capability of their natural support network, leading to more sustainable and person-centred decision-making over time.</w:t>
      </w:r>
    </w:p>
    <w:p w14:paraId="39AB5ED5" w14:textId="3B562492" w:rsidR="00926007" w:rsidRDefault="00B97688" w:rsidP="00B97688">
      <w:pPr>
        <w:spacing w:line="360" w:lineRule="auto"/>
        <w:rPr>
          <w:rFonts w:ascii="Nunito Sans" w:hAnsi="Nunito Sans"/>
          <w:szCs w:val="20"/>
          <w:lang w:val="en-AU"/>
        </w:rPr>
      </w:pPr>
      <w:r w:rsidRPr="004E4842">
        <w:rPr>
          <w:rFonts w:ascii="Nunito Sans" w:hAnsi="Nunito Sans"/>
          <w:szCs w:val="20"/>
          <w:lang w:val="en-AU"/>
        </w:rPr>
        <w:lastRenderedPageBreak/>
        <w:t>Advocates play a crucial and independent facilitation role by establishing the Circle of Support with the person, supporting the group to understand their roles, regularly checking in, and helping to build skills and confidence across the circle. The advocate also provide</w:t>
      </w:r>
      <w:r w:rsidR="00E61F39">
        <w:rPr>
          <w:rFonts w:ascii="Nunito Sans" w:hAnsi="Nunito Sans"/>
          <w:szCs w:val="20"/>
          <w:lang w:val="en-AU"/>
        </w:rPr>
        <w:t>s</w:t>
      </w:r>
      <w:r w:rsidRPr="004E4842">
        <w:rPr>
          <w:rFonts w:ascii="Nunito Sans" w:hAnsi="Nunito Sans"/>
          <w:szCs w:val="20"/>
          <w:lang w:val="en-AU"/>
        </w:rPr>
        <w:t xml:space="preserve"> a clear link to individual advocacy when needed, ensuring rights protection and safeguards remain strong.</w:t>
      </w:r>
    </w:p>
    <w:p w14:paraId="1089D36B" w14:textId="39D809EF" w:rsidR="00755E97" w:rsidRDefault="008D24E0" w:rsidP="00B97688">
      <w:pPr>
        <w:spacing w:line="360" w:lineRule="auto"/>
        <w:rPr>
          <w:rFonts w:ascii="Nunito Sans" w:hAnsi="Nunito Sans"/>
          <w:szCs w:val="20"/>
          <w:lang w:val="en-AU"/>
        </w:rPr>
      </w:pPr>
      <w:r>
        <w:rPr>
          <w:rFonts w:ascii="Nunito Sans" w:hAnsi="Nunito Sans"/>
        </w:rPr>
        <w:t>Both the DRC and the NDIS Review</w:t>
      </w:r>
      <w:r w:rsidR="00A970A4">
        <w:rPr>
          <w:rFonts w:ascii="Nunito Sans" w:hAnsi="Nunito Sans"/>
        </w:rPr>
        <w:t xml:space="preserve"> c</w:t>
      </w:r>
      <w:r w:rsidR="005C516A">
        <w:rPr>
          <w:rFonts w:ascii="Nunito Sans" w:hAnsi="Nunito Sans"/>
        </w:rPr>
        <w:t xml:space="preserve">learly recognised the value of disability advocacy in </w:t>
      </w:r>
      <w:r w:rsidR="005B4100" w:rsidRPr="00D50A44">
        <w:rPr>
          <w:rFonts w:ascii="Nunito Sans" w:eastAsia="Calibri" w:hAnsi="Nunito Sans" w:cs="Calibri"/>
        </w:rPr>
        <w:t>promoting, protecting a defending the human rights of people with disability</w:t>
      </w:r>
      <w:r w:rsidR="005B4100">
        <w:rPr>
          <w:rFonts w:ascii="Nunito Sans" w:hAnsi="Nunito Sans"/>
        </w:rPr>
        <w:t xml:space="preserve"> and in </w:t>
      </w:r>
      <w:r w:rsidR="005C516A">
        <w:rPr>
          <w:rFonts w:ascii="Nunito Sans" w:hAnsi="Nunito Sans"/>
        </w:rPr>
        <w:t>preventing abuse, neglect, violence and exploitation</w:t>
      </w:r>
      <w:r>
        <w:rPr>
          <w:rFonts w:ascii="Nunito Sans" w:hAnsi="Nunito Sans"/>
        </w:rPr>
        <w:t xml:space="preserve"> faced by people with disability</w:t>
      </w:r>
      <w:r w:rsidR="005B4100">
        <w:rPr>
          <w:rFonts w:ascii="Nunito Sans" w:hAnsi="Nunito Sans"/>
        </w:rPr>
        <w:t>.</w:t>
      </w:r>
      <w:r w:rsidR="00864630" w:rsidRPr="00D50A44">
        <w:rPr>
          <w:rStyle w:val="FootnoteReference"/>
          <w:rFonts w:ascii="Nunito Sans" w:eastAsia="Calibri" w:hAnsi="Nunito Sans" w:cs="Calibri"/>
        </w:rPr>
        <w:footnoteReference w:id="10"/>
      </w:r>
      <w:r w:rsidR="005B4100">
        <w:rPr>
          <w:rFonts w:ascii="Nunito Sans" w:hAnsi="Nunito Sans"/>
        </w:rPr>
        <w:t xml:space="preserve"> </w:t>
      </w:r>
      <w:r w:rsidR="00CC5804">
        <w:rPr>
          <w:rFonts w:ascii="Nunito Sans" w:hAnsi="Nunito Sans"/>
        </w:rPr>
        <w:t>T</w:t>
      </w:r>
      <w:r w:rsidR="00755E97" w:rsidRPr="00D50A44">
        <w:rPr>
          <w:rFonts w:ascii="Nunito Sans" w:hAnsi="Nunito Sans"/>
        </w:rPr>
        <w:t>he work advocates do</w:t>
      </w:r>
      <w:r w:rsidR="00755E97">
        <w:rPr>
          <w:rFonts w:ascii="Nunito Sans" w:hAnsi="Nunito Sans"/>
        </w:rPr>
        <w:t xml:space="preserve"> positively</w:t>
      </w:r>
      <w:r w:rsidR="00755E97" w:rsidRPr="00D50A44">
        <w:rPr>
          <w:rFonts w:ascii="Nunito Sans" w:hAnsi="Nunito Sans"/>
        </w:rPr>
        <w:t xml:space="preserve"> impact</w:t>
      </w:r>
      <w:r w:rsidR="00972750">
        <w:rPr>
          <w:rFonts w:ascii="Nunito Sans" w:hAnsi="Nunito Sans"/>
        </w:rPr>
        <w:t>s</w:t>
      </w:r>
      <w:r w:rsidR="00755E97" w:rsidRPr="00D50A44">
        <w:rPr>
          <w:rFonts w:ascii="Nunito Sans" w:hAnsi="Nunito Sans"/>
        </w:rPr>
        <w:t xml:space="preserve"> systems at large, and can set precedents that improve complaints handling, safeguarding mechanisms, and service provision</w:t>
      </w:r>
      <w:r w:rsidR="00CC5804">
        <w:rPr>
          <w:rFonts w:ascii="Nunito Sans" w:hAnsi="Nunito Sans"/>
        </w:rPr>
        <w:t xml:space="preserve">, therefore are an essential element to be included in the Framework and Strategy </w:t>
      </w:r>
      <w:r w:rsidR="00FC20F7">
        <w:rPr>
          <w:rFonts w:ascii="Nunito Sans" w:hAnsi="Nunito Sans"/>
        </w:rPr>
        <w:t>to help people with disability communicate when they do not feel safe and what to do about it.</w:t>
      </w:r>
    </w:p>
    <w:p w14:paraId="5F01519A" w14:textId="72E67A8A" w:rsidR="007A0BD7" w:rsidRDefault="004D533C" w:rsidP="005D562F">
      <w:pPr>
        <w:pStyle w:val="Heading1"/>
        <w:spacing w:before="240"/>
        <w:rPr>
          <w:rFonts w:ascii="Nunito Sans" w:hAnsi="Nunito Sans"/>
          <w:b/>
          <w:bCs/>
          <w:color w:val="690048"/>
          <w:sz w:val="28"/>
          <w:szCs w:val="28"/>
        </w:rPr>
      </w:pPr>
      <w:bookmarkStart w:id="4" w:name="_Toc216981088"/>
      <w:r>
        <w:rPr>
          <w:rFonts w:ascii="Nunito Sans" w:hAnsi="Nunito Sans"/>
          <w:b/>
          <w:bCs/>
          <w:color w:val="690048"/>
          <w:sz w:val="28"/>
          <w:szCs w:val="28"/>
        </w:rPr>
        <w:t>Meaningful and practical safeguards</w:t>
      </w:r>
      <w:bookmarkEnd w:id="4"/>
    </w:p>
    <w:p w14:paraId="50A46C51" w14:textId="3A69A246" w:rsidR="007A0BD7" w:rsidRDefault="007A0BD7" w:rsidP="005918CA">
      <w:pPr>
        <w:pStyle w:val="QIDANParagraph"/>
        <w:spacing w:after="120"/>
      </w:pPr>
      <w:r>
        <w:t>This section covers sections 1</w:t>
      </w:r>
      <w:r w:rsidR="00E62D70">
        <w:t>1</w:t>
      </w:r>
      <w:r>
        <w:t xml:space="preserve"> to 17 of the Consultation Paper.</w:t>
      </w:r>
    </w:p>
    <w:p w14:paraId="4EDC446E" w14:textId="2FACD9B9" w:rsidR="007A0BD7" w:rsidRPr="00F90E2E" w:rsidRDefault="007A0BD7" w:rsidP="007A0BD7">
      <w:pPr>
        <w:pStyle w:val="QIDANParagraph"/>
        <w:rPr>
          <w:b/>
          <w:bCs/>
        </w:rPr>
      </w:pPr>
      <w:r w:rsidRPr="00F90E2E">
        <w:rPr>
          <w:b/>
          <w:bCs/>
          <w:color w:val="690048"/>
        </w:rPr>
        <w:t xml:space="preserve">Service </w:t>
      </w:r>
      <w:r w:rsidR="007E44F9">
        <w:rPr>
          <w:b/>
          <w:bCs/>
          <w:color w:val="690048"/>
        </w:rPr>
        <w:t>p</w:t>
      </w:r>
      <w:r w:rsidRPr="00F90E2E">
        <w:rPr>
          <w:b/>
          <w:bCs/>
          <w:color w:val="690048"/>
        </w:rPr>
        <w:t xml:space="preserve">rovider of </w:t>
      </w:r>
      <w:r w:rsidR="007E44F9">
        <w:rPr>
          <w:b/>
          <w:bCs/>
          <w:color w:val="690048"/>
        </w:rPr>
        <w:t>l</w:t>
      </w:r>
      <w:r w:rsidRPr="00F90E2E">
        <w:rPr>
          <w:b/>
          <w:bCs/>
          <w:color w:val="690048"/>
        </w:rPr>
        <w:t xml:space="preserve">ast </w:t>
      </w:r>
      <w:r w:rsidR="007E44F9">
        <w:rPr>
          <w:b/>
          <w:bCs/>
          <w:color w:val="690048"/>
        </w:rPr>
        <w:t>r</w:t>
      </w:r>
      <w:r w:rsidRPr="00F90E2E">
        <w:rPr>
          <w:b/>
          <w:bCs/>
          <w:color w:val="690048"/>
        </w:rPr>
        <w:t>esort</w:t>
      </w:r>
    </w:p>
    <w:p w14:paraId="733A041A" w14:textId="6B1EE5C7" w:rsidR="007A0BD7" w:rsidRPr="00AA49FD" w:rsidRDefault="007A0BD7" w:rsidP="007A0BD7">
      <w:pPr>
        <w:pStyle w:val="QIDANParagraph"/>
      </w:pPr>
      <w:r w:rsidRPr="00AA49FD">
        <w:t>Too many people with disability, especially those w</w:t>
      </w:r>
      <w:r w:rsidR="00F86896">
        <w:t>ho require</w:t>
      </w:r>
      <w:r w:rsidRPr="00AA49FD">
        <w:t xml:space="preserve"> complex support, are exposed to insufficient safeguards because of the significant power imbalance in the support and service provider market. QIDAN acknowledges and generally welcomes the additional safeguarding provisions introduced in the National Disability Insurance Scheme Amendment (Integrity and Safeguarding) Bill 2025.</w:t>
      </w:r>
      <w:r w:rsidRPr="00813A58">
        <w:rPr>
          <w:vertAlign w:val="superscript"/>
        </w:rPr>
        <w:footnoteReference w:id="11"/>
      </w:r>
      <w:r w:rsidRPr="00AA49FD">
        <w:t xml:space="preserve"> Particularly the new criminal provisions, increased inspection and monitoring powers for the NDIS Commission</w:t>
      </w:r>
      <w:r w:rsidR="00A578D3">
        <w:t xml:space="preserve"> </w:t>
      </w:r>
      <w:r w:rsidRPr="00AA49FD">
        <w:t>and the more extensive regulatory requirements. However, these provisions will need to be considered in further detail and are insufficient in isolation to provide adequate safeguarding for people with disability.</w:t>
      </w:r>
    </w:p>
    <w:p w14:paraId="13BC58FA" w14:textId="14296518" w:rsidR="007A0BD7" w:rsidRDefault="007A0BD7" w:rsidP="007A0BD7">
      <w:pPr>
        <w:pStyle w:val="QIDANParagraph"/>
      </w:pPr>
      <w:r w:rsidRPr="00AA49FD">
        <w:t xml:space="preserve">In addition to the stronger legislative framework that the government is proposing, every state and territory must have a well-equipped, well-trained and person-centred provider </w:t>
      </w:r>
      <w:r w:rsidRPr="00AA49FD">
        <w:lastRenderedPageBreak/>
        <w:t>of last resort.</w:t>
      </w:r>
      <w:r w:rsidRPr="00F448E3">
        <w:rPr>
          <w:vertAlign w:val="superscript"/>
        </w:rPr>
        <w:footnoteReference w:id="12"/>
      </w:r>
      <w:r w:rsidRPr="00F448E3">
        <w:rPr>
          <w:vertAlign w:val="superscript"/>
        </w:rPr>
        <w:t xml:space="preserve"> </w:t>
      </w:r>
      <w:r w:rsidRPr="00AA49FD">
        <w:t xml:space="preserve">People </w:t>
      </w:r>
      <w:r w:rsidR="006D7DA5">
        <w:t>that require</w:t>
      </w:r>
      <w:r w:rsidRPr="00AA49FD">
        <w:t xml:space="preserve"> complex support experience particular challenges accessing support. Service providers can terminate service agreements when challenges arise and have been known to prefer to support people </w:t>
      </w:r>
      <w:r w:rsidR="00667A32">
        <w:t>that require</w:t>
      </w:r>
      <w:r w:rsidRPr="00AA49FD">
        <w:t xml:space="preserve"> </w:t>
      </w:r>
      <w:proofErr w:type="gramStart"/>
      <w:r w:rsidRPr="00AA49FD">
        <w:t>less</w:t>
      </w:r>
      <w:proofErr w:type="gramEnd"/>
      <w:r w:rsidRPr="00AA49FD">
        <w:t xml:space="preserve"> complex </w:t>
      </w:r>
      <w:r w:rsidR="00667A32">
        <w:t>supports</w:t>
      </w:r>
      <w:r w:rsidRPr="00AA49FD">
        <w:t>.</w:t>
      </w:r>
      <w:r w:rsidRPr="00F448E3">
        <w:rPr>
          <w:vertAlign w:val="superscript"/>
        </w:rPr>
        <w:footnoteReference w:id="13"/>
      </w:r>
      <w:r w:rsidRPr="00AA49FD">
        <w:t xml:space="preserve"> In the absence of a provider of last resort, this leaves </w:t>
      </w:r>
      <w:r w:rsidR="00667A32">
        <w:t xml:space="preserve">people </w:t>
      </w:r>
      <w:r w:rsidR="00E23971">
        <w:t>in</w:t>
      </w:r>
      <w:r w:rsidR="00667A32">
        <w:t xml:space="preserve"> </w:t>
      </w:r>
      <w:r w:rsidRPr="00AA49FD">
        <w:t xml:space="preserve">vulnerable </w:t>
      </w:r>
      <w:r w:rsidR="00667A32">
        <w:t>situations</w:t>
      </w:r>
      <w:r w:rsidRPr="00AA49FD">
        <w:t xml:space="preserve"> without essential services</w:t>
      </w:r>
      <w:r w:rsidR="008946AC">
        <w:t xml:space="preserve"> or at the mercy of abusive </w:t>
      </w:r>
      <w:r w:rsidR="009B0155">
        <w:t xml:space="preserve">providers. </w:t>
      </w:r>
    </w:p>
    <w:p w14:paraId="3BAE284A" w14:textId="399EB797" w:rsidR="007A0BD7" w:rsidRDefault="007A0BD7" w:rsidP="007A0BD7">
      <w:pPr>
        <w:pStyle w:val="QIDANParagraph"/>
      </w:pPr>
      <w:r w:rsidRPr="00754ECD">
        <w:t xml:space="preserve">It is paramount that a service provider of last resort is a temporary measure only that prioritises choice and control for people with disability. This means that people with disability must be empowered to make their own decisions related to their support and service providers otherwise there is risk of institutionalisation. It is also crucial that this safeguarding tool is culturally safe to ensure that </w:t>
      </w:r>
      <w:r w:rsidR="009B0155">
        <w:t>Aboriginal and / or Torres Strait Island</w:t>
      </w:r>
      <w:r w:rsidRPr="00754ECD">
        <w:t xml:space="preserve"> people with disability and those from culturally and linguistically diverse backgrounds are afforded the same opportunity to feel safe, supported and empowered. </w:t>
      </w:r>
      <w:r>
        <w:t>QIDAN therefore fully endorses recommendation 10.10 of the DRC which proposes a provider of last resort scheme that is designed to address:</w:t>
      </w:r>
    </w:p>
    <w:p w14:paraId="234C84F0" w14:textId="77777777" w:rsidR="007A0BD7" w:rsidRDefault="007A0BD7" w:rsidP="007A0BD7">
      <w:pPr>
        <w:pStyle w:val="QIDANParagraph"/>
        <w:numPr>
          <w:ilvl w:val="0"/>
          <w:numId w:val="5"/>
        </w:numPr>
      </w:pPr>
      <w:r>
        <w:t>failed or thin markets, particularly for First Nations people with disability in remote or very remote areas, and consider the use of block funding to guarantee service provision in those communities</w:t>
      </w:r>
    </w:p>
    <w:p w14:paraId="4994ADCC" w14:textId="77777777" w:rsidR="007A0BD7" w:rsidRDefault="007A0BD7" w:rsidP="007A0BD7">
      <w:pPr>
        <w:pStyle w:val="QIDANParagraph"/>
        <w:numPr>
          <w:ilvl w:val="0"/>
          <w:numId w:val="5"/>
        </w:numPr>
      </w:pPr>
      <w:r>
        <w:t>access to services for:</w:t>
      </w:r>
    </w:p>
    <w:p w14:paraId="67DC574E" w14:textId="77777777" w:rsidR="007A0BD7" w:rsidRDefault="007A0BD7" w:rsidP="007A0BD7">
      <w:pPr>
        <w:pStyle w:val="QIDANParagraph"/>
        <w:numPr>
          <w:ilvl w:val="1"/>
          <w:numId w:val="5"/>
        </w:numPr>
      </w:pPr>
      <w:r>
        <w:t>people in crisis situations</w:t>
      </w:r>
    </w:p>
    <w:p w14:paraId="0B0E3045" w14:textId="77777777" w:rsidR="007A0BD7" w:rsidRDefault="007A0BD7" w:rsidP="007A0BD7">
      <w:pPr>
        <w:pStyle w:val="QIDANParagraph"/>
        <w:numPr>
          <w:ilvl w:val="1"/>
          <w:numId w:val="5"/>
        </w:numPr>
      </w:pPr>
      <w:r>
        <w:t>people at risk of losing their accommodation and disability services</w:t>
      </w:r>
    </w:p>
    <w:p w14:paraId="3A5E6DE1" w14:textId="77777777" w:rsidR="007A0BD7" w:rsidRDefault="007A0BD7" w:rsidP="007A0BD7">
      <w:pPr>
        <w:pStyle w:val="QIDANParagraph"/>
        <w:numPr>
          <w:ilvl w:val="1"/>
          <w:numId w:val="5"/>
        </w:numPr>
      </w:pPr>
      <w:r>
        <w:t>people whose needs cannot be adequately met by existing services</w:t>
      </w:r>
    </w:p>
    <w:p w14:paraId="53AA2E06" w14:textId="77777777" w:rsidR="007A0BD7" w:rsidRDefault="007A0BD7" w:rsidP="007A0BD7">
      <w:pPr>
        <w:pStyle w:val="QIDANParagraph"/>
        <w:numPr>
          <w:ilvl w:val="0"/>
          <w:numId w:val="5"/>
        </w:numPr>
      </w:pPr>
      <w:r>
        <w:t>access to case management for people with disability at heightened risk</w:t>
      </w:r>
    </w:p>
    <w:p w14:paraId="42B47B7D" w14:textId="77777777" w:rsidR="007A0BD7" w:rsidRDefault="007A0BD7" w:rsidP="007A0BD7">
      <w:pPr>
        <w:pStyle w:val="QIDANParagraph"/>
        <w:ind w:left="720"/>
      </w:pPr>
      <w:r>
        <w:t>of violence, abuse, neglect or exploitation</w:t>
      </w:r>
    </w:p>
    <w:p w14:paraId="20F2460D" w14:textId="77777777" w:rsidR="007A0BD7" w:rsidRDefault="007A0BD7" w:rsidP="007A0BD7">
      <w:pPr>
        <w:pStyle w:val="QIDANParagraph"/>
        <w:numPr>
          <w:ilvl w:val="0"/>
          <w:numId w:val="5"/>
        </w:numPr>
      </w:pPr>
      <w:r>
        <w:t>clarity about which agency has the lead coordinating role.</w:t>
      </w:r>
    </w:p>
    <w:p w14:paraId="1AE4B872" w14:textId="26553C28" w:rsidR="00E21F07" w:rsidRDefault="00E21F07" w:rsidP="008918D5">
      <w:pPr>
        <w:pStyle w:val="QIDANParagraph"/>
        <w:spacing w:after="120"/>
      </w:pPr>
      <w:r>
        <w:t xml:space="preserve">In our view, people </w:t>
      </w:r>
      <w:r w:rsidR="0092493D">
        <w:t>with disab</w:t>
      </w:r>
      <w:r w:rsidR="00C75772">
        <w:t xml:space="preserve">ility experiencing serious harm, abuse or neglect should be prioritised when </w:t>
      </w:r>
      <w:r w:rsidR="00B04AA7">
        <w:t xml:space="preserve">a provider of last resort is being considered. We note the government </w:t>
      </w:r>
      <w:r w:rsidR="00B04AA7">
        <w:lastRenderedPageBreak/>
        <w:t xml:space="preserve">progress </w:t>
      </w:r>
      <w:r w:rsidR="00711B29">
        <w:t>to DRC recommendation 10.10 to explore</w:t>
      </w:r>
      <w:r w:rsidR="00650BCB">
        <w:t xml:space="preserve"> possible approaches to introduce a provider of last resort.</w:t>
      </w:r>
      <w:r w:rsidR="00650BCB">
        <w:rPr>
          <w:rStyle w:val="FootnoteReference"/>
        </w:rPr>
        <w:footnoteReference w:id="14"/>
      </w:r>
    </w:p>
    <w:p w14:paraId="12C95081" w14:textId="3428F1C5" w:rsidR="007A0BD7" w:rsidRPr="00253149" w:rsidRDefault="00E75B9C" w:rsidP="007A0BD7">
      <w:pPr>
        <w:pStyle w:val="QIDANParagraph"/>
        <w:rPr>
          <w:b/>
          <w:bCs/>
          <w:color w:val="690048"/>
        </w:rPr>
      </w:pPr>
      <w:r>
        <w:rPr>
          <w:b/>
          <w:bCs/>
          <w:color w:val="690048"/>
        </w:rPr>
        <w:t xml:space="preserve">Unannounced visits </w:t>
      </w:r>
      <w:r w:rsidR="00BA616B">
        <w:rPr>
          <w:b/>
          <w:bCs/>
          <w:color w:val="690048"/>
        </w:rPr>
        <w:t>in</w:t>
      </w:r>
      <w:r>
        <w:rPr>
          <w:b/>
          <w:bCs/>
          <w:color w:val="690048"/>
        </w:rPr>
        <w:t xml:space="preserve"> </w:t>
      </w:r>
      <w:r w:rsidR="00094C2A">
        <w:rPr>
          <w:b/>
          <w:bCs/>
          <w:color w:val="690048"/>
        </w:rPr>
        <w:t>congregated or closed settings</w:t>
      </w:r>
      <w:r>
        <w:rPr>
          <w:b/>
          <w:bCs/>
          <w:color w:val="690048"/>
        </w:rPr>
        <w:t xml:space="preserve"> </w:t>
      </w:r>
      <w:r w:rsidR="00BA616B">
        <w:rPr>
          <w:b/>
          <w:bCs/>
          <w:color w:val="690048"/>
        </w:rPr>
        <w:t>– an essential step</w:t>
      </w:r>
    </w:p>
    <w:p w14:paraId="34820398" w14:textId="056C6727" w:rsidR="00CF1D9D" w:rsidRDefault="002C69F8" w:rsidP="002B2325">
      <w:pPr>
        <w:spacing w:line="360" w:lineRule="auto"/>
        <w:rPr>
          <w:rFonts w:ascii="Nunito Sans" w:hAnsi="Nunito Sans"/>
        </w:rPr>
      </w:pPr>
      <w:r>
        <w:rPr>
          <w:rFonts w:ascii="Nunito Sans" w:hAnsi="Nunito Sans"/>
        </w:rPr>
        <w:t>People with disability should not be over moni</w:t>
      </w:r>
      <w:r w:rsidR="00466960">
        <w:rPr>
          <w:rFonts w:ascii="Nunito Sans" w:hAnsi="Nunito Sans"/>
        </w:rPr>
        <w:t>tored</w:t>
      </w:r>
      <w:r w:rsidR="00C339AD">
        <w:rPr>
          <w:rFonts w:ascii="Nunito Sans" w:hAnsi="Nunito Sans"/>
        </w:rPr>
        <w:t xml:space="preserve">, resulting </w:t>
      </w:r>
      <w:r w:rsidR="007B6FDF">
        <w:rPr>
          <w:rFonts w:ascii="Nunito Sans" w:hAnsi="Nunito Sans"/>
        </w:rPr>
        <w:t>in</w:t>
      </w:r>
      <w:r w:rsidR="00697494">
        <w:rPr>
          <w:rFonts w:ascii="Nunito Sans" w:hAnsi="Nunito Sans"/>
        </w:rPr>
        <w:t xml:space="preserve"> denied choice and control, dignity of risk and autonomy. However, it is our view that </w:t>
      </w:r>
      <w:r w:rsidR="0031418F">
        <w:rPr>
          <w:rFonts w:ascii="Nunito Sans" w:hAnsi="Nunito Sans"/>
        </w:rPr>
        <w:t xml:space="preserve">in congregated and closed settings people with disability are </w:t>
      </w:r>
      <w:r w:rsidR="000142AA">
        <w:rPr>
          <w:rFonts w:ascii="Nunito Sans" w:hAnsi="Nunito Sans"/>
        </w:rPr>
        <w:t xml:space="preserve">in </w:t>
      </w:r>
      <w:r w:rsidR="0031418F">
        <w:rPr>
          <w:rFonts w:ascii="Nunito Sans" w:hAnsi="Nunito Sans"/>
        </w:rPr>
        <w:t>more vulnerable</w:t>
      </w:r>
      <w:r w:rsidR="00BF3281">
        <w:rPr>
          <w:rFonts w:ascii="Nunito Sans" w:hAnsi="Nunito Sans"/>
        </w:rPr>
        <w:t xml:space="preserve"> </w:t>
      </w:r>
      <w:r w:rsidR="000142AA">
        <w:rPr>
          <w:rFonts w:ascii="Nunito Sans" w:hAnsi="Nunito Sans"/>
        </w:rPr>
        <w:t xml:space="preserve">situations </w:t>
      </w:r>
      <w:r w:rsidR="00BF3281">
        <w:rPr>
          <w:rFonts w:ascii="Nunito Sans" w:hAnsi="Nunito Sans"/>
        </w:rPr>
        <w:t>and exposed to risk, harm and some behaviours that may not be intentionally ableist but lac</w:t>
      </w:r>
      <w:r w:rsidR="009A6D5F">
        <w:rPr>
          <w:rFonts w:ascii="Nunito Sans" w:hAnsi="Nunito Sans"/>
        </w:rPr>
        <w:t>k disability awareness.</w:t>
      </w:r>
      <w:r w:rsidR="00120DA3">
        <w:rPr>
          <w:rFonts w:ascii="Nunito Sans" w:hAnsi="Nunito Sans"/>
        </w:rPr>
        <w:t xml:space="preserve"> Therefore, we support increased monitoring of </w:t>
      </w:r>
      <w:r w:rsidR="00077E67">
        <w:rPr>
          <w:rFonts w:ascii="Nunito Sans" w:hAnsi="Nunito Sans"/>
        </w:rPr>
        <w:t xml:space="preserve">such settings by the Community Visitor Scheme (CVS) program and </w:t>
      </w:r>
      <w:r w:rsidR="00B41439">
        <w:rPr>
          <w:rFonts w:ascii="Nunito Sans" w:hAnsi="Nunito Sans"/>
        </w:rPr>
        <w:t xml:space="preserve">introducing a statutory </w:t>
      </w:r>
      <w:r w:rsidR="006E7396">
        <w:rPr>
          <w:rFonts w:ascii="Nunito Sans" w:hAnsi="Nunito Sans"/>
        </w:rPr>
        <w:t>right to enter premises for the</w:t>
      </w:r>
      <w:r w:rsidR="00077E67">
        <w:rPr>
          <w:rFonts w:ascii="Nunito Sans" w:hAnsi="Nunito Sans"/>
        </w:rPr>
        <w:t xml:space="preserve"> NDIS Commission.</w:t>
      </w:r>
    </w:p>
    <w:p w14:paraId="502215B7" w14:textId="5CBBE664" w:rsidR="007A0BD7" w:rsidRPr="002B2325" w:rsidRDefault="007A0BD7" w:rsidP="002B2325">
      <w:pPr>
        <w:spacing w:line="360" w:lineRule="auto"/>
        <w:rPr>
          <w:rFonts w:ascii="Nunito Sans" w:hAnsi="Nunito Sans"/>
        </w:rPr>
      </w:pPr>
      <w:r w:rsidRPr="002B2325">
        <w:rPr>
          <w:rFonts w:ascii="Nunito Sans" w:hAnsi="Nunito Sans"/>
        </w:rPr>
        <w:t xml:space="preserve">While renewed approaches to safeguarding, such as a service provider of last resort, are crucial to an effective safeguarding Framework and Strategy, it is just as important to enhance the safeguarding measures that are already in place. The </w:t>
      </w:r>
      <w:r w:rsidR="00077E67">
        <w:rPr>
          <w:rFonts w:ascii="Nunito Sans" w:hAnsi="Nunito Sans"/>
        </w:rPr>
        <w:t xml:space="preserve">CVS </w:t>
      </w:r>
      <w:r w:rsidRPr="002B2325">
        <w:rPr>
          <w:rFonts w:ascii="Nunito Sans" w:hAnsi="Nunito Sans"/>
        </w:rPr>
        <w:t>is intended to be an independent monitor of services and facilities used by people with disability and is generally viewed to be a significant tool in effective safeguarding, especially for people with disability who have limited or no access to natural supports or safeguards.</w:t>
      </w:r>
      <w:r w:rsidRPr="002B2325">
        <w:rPr>
          <w:rStyle w:val="FootnoteReference"/>
          <w:rFonts w:ascii="Nunito Sans" w:hAnsi="Nunito Sans"/>
        </w:rPr>
        <w:footnoteReference w:id="15"/>
      </w:r>
      <w:r w:rsidRPr="002B2325">
        <w:rPr>
          <w:rFonts w:ascii="Nunito Sans" w:hAnsi="Nunito Sans"/>
        </w:rPr>
        <w:t xml:space="preserve"> The DRC and the</w:t>
      </w:r>
      <w:r w:rsidR="004A55A1">
        <w:rPr>
          <w:rFonts w:ascii="Nunito Sans" w:hAnsi="Nunito Sans"/>
        </w:rPr>
        <w:t xml:space="preserve"> </w:t>
      </w:r>
      <w:r w:rsidRPr="002B2325">
        <w:rPr>
          <w:rFonts w:ascii="Nunito Sans" w:hAnsi="Nunito Sans"/>
        </w:rPr>
        <w:t>Taskforce</w:t>
      </w:r>
      <w:r w:rsidR="004A55A1">
        <w:rPr>
          <w:rFonts w:ascii="Nunito Sans" w:hAnsi="Nunito Sans"/>
        </w:rPr>
        <w:t xml:space="preserve"> Advice</w:t>
      </w:r>
      <w:r w:rsidRPr="002B2325">
        <w:rPr>
          <w:rFonts w:ascii="Nunito Sans" w:hAnsi="Nunito Sans"/>
        </w:rPr>
        <w:t xml:space="preserve"> identified that currently the roles and functions of CVS across different states and territories vary significantly with regard to scope, scale and design which, in turn, minimises the efficacy of its safeguarding function, especially in group homes and closed care settings. This is particularly alarming as group homes and large accommodation settings are recognised as a modern tool for institutionalisation and segregation.</w:t>
      </w:r>
      <w:r w:rsidRPr="002B2325">
        <w:rPr>
          <w:rStyle w:val="FootnoteReference"/>
          <w:rFonts w:ascii="Nunito Sans" w:hAnsi="Nunito Sans"/>
        </w:rPr>
        <w:footnoteReference w:id="16"/>
      </w:r>
      <w:r w:rsidRPr="002B2325">
        <w:rPr>
          <w:rFonts w:ascii="Nunito Sans" w:hAnsi="Nunito Sans"/>
        </w:rPr>
        <w:t xml:space="preserve"> The </w:t>
      </w:r>
      <w:r w:rsidR="004A55A1">
        <w:rPr>
          <w:rFonts w:ascii="Nunito Sans" w:hAnsi="Nunito Sans"/>
        </w:rPr>
        <w:t>DRC</w:t>
      </w:r>
      <w:r w:rsidRPr="002B2325">
        <w:rPr>
          <w:rFonts w:ascii="Nunito Sans" w:hAnsi="Nunito Sans"/>
        </w:rPr>
        <w:t xml:space="preserve"> also heard evidence that these settings present concerning unique barriers to self-advocacy</w:t>
      </w:r>
      <w:r w:rsidR="007B6FDF">
        <w:rPr>
          <w:rFonts w:ascii="Nunito Sans" w:hAnsi="Nunito Sans"/>
        </w:rPr>
        <w:t>,</w:t>
      </w:r>
      <w:r w:rsidRPr="002B2325">
        <w:rPr>
          <w:rFonts w:ascii="Nunito Sans" w:hAnsi="Nunito Sans"/>
        </w:rPr>
        <w:t xml:space="preserve"> informal support networks, and independent advocacy services,</w:t>
      </w:r>
      <w:r w:rsidRPr="002B2325">
        <w:rPr>
          <w:rStyle w:val="FootnoteReference"/>
          <w:rFonts w:ascii="Nunito Sans" w:hAnsi="Nunito Sans"/>
        </w:rPr>
        <w:footnoteReference w:id="17"/>
      </w:r>
      <w:r w:rsidR="00707CA0">
        <w:rPr>
          <w:rFonts w:ascii="Nunito Sans" w:hAnsi="Nunito Sans"/>
        </w:rPr>
        <w:t xml:space="preserve"> </w:t>
      </w:r>
      <w:r w:rsidRPr="002B2325">
        <w:rPr>
          <w:rFonts w:ascii="Nunito Sans" w:hAnsi="Nunito Sans"/>
        </w:rPr>
        <w:t>which are all key elements of effective safeguarding.</w:t>
      </w:r>
    </w:p>
    <w:p w14:paraId="48970801" w14:textId="6FD3B5E7" w:rsidR="007A0BD7" w:rsidRPr="002B2325" w:rsidRDefault="007A0BD7" w:rsidP="002B2325">
      <w:pPr>
        <w:spacing w:line="360" w:lineRule="auto"/>
        <w:rPr>
          <w:rFonts w:ascii="Nunito Sans" w:hAnsi="Nunito Sans"/>
        </w:rPr>
      </w:pPr>
      <w:r w:rsidRPr="002B2325">
        <w:rPr>
          <w:rFonts w:ascii="Nunito Sans" w:hAnsi="Nunito Sans"/>
        </w:rPr>
        <w:lastRenderedPageBreak/>
        <w:t>The DRC therefore proposed a nationally consistent approach to the CVS and improved integration and reporting with the NDIS, as per</w:t>
      </w:r>
      <w:r w:rsidR="0054483B">
        <w:rPr>
          <w:rFonts w:ascii="Nunito Sans" w:hAnsi="Nunito Sans"/>
        </w:rPr>
        <w:t xml:space="preserve"> DRC</w:t>
      </w:r>
      <w:r w:rsidRPr="002B2325">
        <w:rPr>
          <w:rFonts w:ascii="Nunito Sans" w:hAnsi="Nunito Sans"/>
        </w:rPr>
        <w:t xml:space="preserve"> recommendations 11.12 and 11.13. </w:t>
      </w:r>
      <w:r w:rsidR="00BB7E9D">
        <w:rPr>
          <w:rFonts w:ascii="Nunito Sans" w:hAnsi="Nunito Sans"/>
        </w:rPr>
        <w:t xml:space="preserve">In the recent </w:t>
      </w:r>
      <w:r w:rsidR="00D12E1A">
        <w:rPr>
          <w:rFonts w:ascii="Nunito Sans" w:hAnsi="Nunito Sans"/>
        </w:rPr>
        <w:t>CVS</w:t>
      </w:r>
      <w:r w:rsidR="006653B2">
        <w:rPr>
          <w:rFonts w:ascii="Nunito Sans" w:hAnsi="Nunito Sans"/>
        </w:rPr>
        <w:t xml:space="preserve"> – public consultation</w:t>
      </w:r>
      <w:r w:rsidR="0033693C">
        <w:rPr>
          <w:rFonts w:ascii="Nunito Sans" w:hAnsi="Nunito Sans"/>
        </w:rPr>
        <w:t>, QIDAN provided feedback e</w:t>
      </w:r>
      <w:r w:rsidRPr="002B2325">
        <w:rPr>
          <w:rFonts w:ascii="Nunito Sans" w:hAnsi="Nunito Sans"/>
        </w:rPr>
        <w:t>ndors</w:t>
      </w:r>
      <w:r w:rsidR="0033693C">
        <w:rPr>
          <w:rFonts w:ascii="Nunito Sans" w:hAnsi="Nunito Sans"/>
        </w:rPr>
        <w:t>ing</w:t>
      </w:r>
      <w:r w:rsidRPr="002B2325">
        <w:rPr>
          <w:rFonts w:ascii="Nunito Sans" w:hAnsi="Nunito Sans"/>
        </w:rPr>
        <w:t xml:space="preserve"> </w:t>
      </w:r>
      <w:r w:rsidR="00D12E1A">
        <w:rPr>
          <w:rFonts w:ascii="Nunito Sans" w:hAnsi="Nunito Sans"/>
        </w:rPr>
        <w:t xml:space="preserve">these DRC recommendations and noting that the </w:t>
      </w:r>
      <w:r w:rsidR="004C43C3">
        <w:rPr>
          <w:rFonts w:ascii="Nunito Sans" w:hAnsi="Nunito Sans"/>
        </w:rPr>
        <w:t xml:space="preserve">expanding the </w:t>
      </w:r>
      <w:r w:rsidR="00AA5927">
        <w:rPr>
          <w:rFonts w:ascii="Nunito Sans" w:hAnsi="Nunito Sans"/>
        </w:rPr>
        <w:t>CVS scope to visit all ty</w:t>
      </w:r>
      <w:r w:rsidRPr="002B2325">
        <w:rPr>
          <w:rFonts w:ascii="Nunito Sans" w:hAnsi="Nunito Sans"/>
        </w:rPr>
        <w:t>pes of institutions, congregate care and closed settings</w:t>
      </w:r>
      <w:r w:rsidR="00AA5927">
        <w:rPr>
          <w:rFonts w:ascii="Nunito Sans" w:hAnsi="Nunito Sans"/>
        </w:rPr>
        <w:t xml:space="preserve"> is a way</w:t>
      </w:r>
      <w:r w:rsidR="00534AFB">
        <w:rPr>
          <w:rFonts w:ascii="Nunito Sans" w:hAnsi="Nunito Sans"/>
        </w:rPr>
        <w:t xml:space="preserve"> of ensuring facilities are delivering person-centred supports</w:t>
      </w:r>
      <w:r w:rsidR="00FD0AE4">
        <w:rPr>
          <w:rFonts w:ascii="Nunito Sans" w:hAnsi="Nunito Sans"/>
        </w:rPr>
        <w:t>. In practice, this means that people with disability can have access to a</w:t>
      </w:r>
      <w:r w:rsidR="00F178DE">
        <w:rPr>
          <w:rFonts w:ascii="Nunito Sans" w:hAnsi="Nunito Sans"/>
        </w:rPr>
        <w:t xml:space="preserve"> service</w:t>
      </w:r>
      <w:r w:rsidR="00FD0AE4">
        <w:rPr>
          <w:rFonts w:ascii="Nunito Sans" w:hAnsi="Nunito Sans"/>
        </w:rPr>
        <w:t xml:space="preserve"> “quality-check”</w:t>
      </w:r>
      <w:r w:rsidR="00202571">
        <w:rPr>
          <w:rFonts w:ascii="Nunito Sans" w:hAnsi="Nunito Sans"/>
        </w:rPr>
        <w:t xml:space="preserve">, which could lead to </w:t>
      </w:r>
      <w:r w:rsidR="002328C8">
        <w:rPr>
          <w:rFonts w:ascii="Nunito Sans" w:hAnsi="Nunito Sans"/>
        </w:rPr>
        <w:t>additional</w:t>
      </w:r>
      <w:r w:rsidR="00F178DE">
        <w:rPr>
          <w:rFonts w:ascii="Nunito Sans" w:hAnsi="Nunito Sans"/>
        </w:rPr>
        <w:t xml:space="preserve"> staff</w:t>
      </w:r>
      <w:r w:rsidR="002328C8">
        <w:rPr>
          <w:rFonts w:ascii="Nunito Sans" w:hAnsi="Nunito Sans"/>
        </w:rPr>
        <w:t xml:space="preserve"> training </w:t>
      </w:r>
      <w:r w:rsidR="00517C42">
        <w:rPr>
          <w:rFonts w:ascii="Nunito Sans" w:hAnsi="Nunito Sans"/>
        </w:rPr>
        <w:t>and external referrals to disability advocacy supports if needed.</w:t>
      </w:r>
      <w:r w:rsidR="00FD0AE4">
        <w:rPr>
          <w:rFonts w:ascii="Nunito Sans" w:hAnsi="Nunito Sans"/>
        </w:rPr>
        <w:t xml:space="preserve"> </w:t>
      </w:r>
      <w:r w:rsidRPr="002B2325">
        <w:rPr>
          <w:rFonts w:ascii="Nunito Sans" w:hAnsi="Nunito Sans"/>
        </w:rPr>
        <w:t xml:space="preserve"> </w:t>
      </w:r>
    </w:p>
    <w:p w14:paraId="651AF863" w14:textId="610D8171" w:rsidR="007A0BD7" w:rsidRPr="002B2325" w:rsidRDefault="007A0BD7" w:rsidP="002B2325">
      <w:pPr>
        <w:spacing w:line="360" w:lineRule="auto"/>
        <w:rPr>
          <w:rFonts w:ascii="Nunito Sans" w:hAnsi="Nunito Sans"/>
        </w:rPr>
      </w:pPr>
      <w:r w:rsidRPr="002B2325">
        <w:rPr>
          <w:rFonts w:ascii="Nunito Sans" w:hAnsi="Nunito Sans"/>
        </w:rPr>
        <w:t xml:space="preserve">In addition to this, QIDAN fully supports recommendation 5 of the </w:t>
      </w:r>
      <w:r w:rsidR="00517C42">
        <w:rPr>
          <w:rFonts w:ascii="Nunito Sans" w:hAnsi="Nunito Sans"/>
        </w:rPr>
        <w:t>Taskforce Advice</w:t>
      </w:r>
      <w:r w:rsidRPr="002B2325">
        <w:rPr>
          <w:rFonts w:ascii="Nunito Sans" w:hAnsi="Nunito Sans"/>
        </w:rPr>
        <w:t xml:space="preserve"> to subject </w:t>
      </w:r>
      <w:r w:rsidR="00185DB3">
        <w:rPr>
          <w:rFonts w:ascii="Nunito Sans" w:hAnsi="Nunito Sans"/>
        </w:rPr>
        <w:t>closed settings</w:t>
      </w:r>
      <w:r w:rsidRPr="002B2325">
        <w:rPr>
          <w:rFonts w:ascii="Nunito Sans" w:hAnsi="Nunito Sans"/>
        </w:rPr>
        <w:t xml:space="preserve"> to unannounced visits and to provide the NDIS Commission with the statutory right to enter the premises. </w:t>
      </w:r>
      <w:r w:rsidR="00E34662">
        <w:rPr>
          <w:rFonts w:ascii="Nunito Sans" w:hAnsi="Nunito Sans"/>
        </w:rPr>
        <w:t>We reiterate the importance of honouring</w:t>
      </w:r>
      <w:r w:rsidRPr="002B2325">
        <w:rPr>
          <w:rFonts w:ascii="Nunito Sans" w:hAnsi="Nunito Sans"/>
        </w:rPr>
        <w:t xml:space="preserve"> dignity of risk so that people with disability are not over-monitored</w:t>
      </w:r>
      <w:r w:rsidR="00271080">
        <w:rPr>
          <w:rFonts w:ascii="Nunito Sans" w:hAnsi="Nunito Sans"/>
        </w:rPr>
        <w:t>.</w:t>
      </w:r>
      <w:r w:rsidR="00E34662">
        <w:rPr>
          <w:rFonts w:ascii="Nunito Sans" w:hAnsi="Nunito Sans"/>
        </w:rPr>
        <w:t xml:space="preserve"> </w:t>
      </w:r>
      <w:r w:rsidR="004E77FD">
        <w:rPr>
          <w:rFonts w:ascii="Nunito Sans" w:hAnsi="Nunito Sans"/>
        </w:rPr>
        <w:t>Instead,</w:t>
      </w:r>
      <w:r w:rsidR="00E34662">
        <w:rPr>
          <w:rFonts w:ascii="Nunito Sans" w:hAnsi="Nunito Sans"/>
        </w:rPr>
        <w:t xml:space="preserve"> they are s</w:t>
      </w:r>
      <w:r w:rsidR="0028340C">
        <w:rPr>
          <w:rFonts w:ascii="Nunito Sans" w:hAnsi="Nunito Sans"/>
        </w:rPr>
        <w:t>upported to develop decision-making skills</w:t>
      </w:r>
      <w:r w:rsidRPr="002B2325">
        <w:rPr>
          <w:rFonts w:ascii="Nunito Sans" w:hAnsi="Nunito Sans"/>
        </w:rPr>
        <w:t xml:space="preserve">. </w:t>
      </w:r>
    </w:p>
    <w:p w14:paraId="3F70DF37" w14:textId="7B81D213" w:rsidR="007A0BD7" w:rsidRDefault="007A0BD7" w:rsidP="008918D5">
      <w:pPr>
        <w:spacing w:after="120" w:line="360" w:lineRule="auto"/>
        <w:rPr>
          <w:rFonts w:ascii="Nunito Sans" w:hAnsi="Nunito Sans"/>
        </w:rPr>
      </w:pPr>
      <w:r w:rsidRPr="002B2325">
        <w:rPr>
          <w:rFonts w:ascii="Nunito Sans" w:hAnsi="Nunito Sans"/>
        </w:rPr>
        <w:t xml:space="preserve">Together, these measures will significantly enhance the external supervision and accountability of closed settings and </w:t>
      </w:r>
      <w:r w:rsidR="006A6B93">
        <w:rPr>
          <w:rFonts w:ascii="Nunito Sans" w:hAnsi="Nunito Sans"/>
        </w:rPr>
        <w:t xml:space="preserve">improve </w:t>
      </w:r>
      <w:r w:rsidRPr="002B2325">
        <w:rPr>
          <w:rFonts w:ascii="Nunito Sans" w:hAnsi="Nunito Sans"/>
        </w:rPr>
        <w:t>safeguards for people with disability.</w:t>
      </w:r>
    </w:p>
    <w:p w14:paraId="0256FA22" w14:textId="7A50D918" w:rsidR="008A1993" w:rsidRDefault="0040054F" w:rsidP="005D562F">
      <w:pPr>
        <w:pStyle w:val="Heading1"/>
        <w:spacing w:before="240"/>
        <w:rPr>
          <w:rFonts w:ascii="Nunito Sans" w:hAnsi="Nunito Sans"/>
          <w:b/>
          <w:bCs/>
          <w:color w:val="690048"/>
          <w:sz w:val="28"/>
          <w:szCs w:val="28"/>
        </w:rPr>
      </w:pPr>
      <w:bookmarkStart w:id="5" w:name="_Toc216981089"/>
      <w:r>
        <w:rPr>
          <w:rFonts w:ascii="Nunito Sans" w:hAnsi="Nunito Sans"/>
          <w:b/>
          <w:bCs/>
          <w:color w:val="690048"/>
          <w:sz w:val="28"/>
          <w:szCs w:val="28"/>
        </w:rPr>
        <w:t xml:space="preserve">Clear accountability mechanisms </w:t>
      </w:r>
      <w:r w:rsidR="008D253F">
        <w:rPr>
          <w:rFonts w:ascii="Nunito Sans" w:hAnsi="Nunito Sans"/>
          <w:b/>
          <w:bCs/>
          <w:color w:val="690048"/>
          <w:sz w:val="28"/>
          <w:szCs w:val="28"/>
        </w:rPr>
        <w:t>support</w:t>
      </w:r>
      <w:r>
        <w:rPr>
          <w:rFonts w:ascii="Nunito Sans" w:hAnsi="Nunito Sans"/>
          <w:b/>
          <w:bCs/>
          <w:color w:val="690048"/>
          <w:sz w:val="28"/>
          <w:szCs w:val="28"/>
        </w:rPr>
        <w:t xml:space="preserve"> a coordinated response</w:t>
      </w:r>
      <w:bookmarkEnd w:id="5"/>
      <w:r w:rsidR="008A1993" w:rsidRPr="00FA15ED">
        <w:rPr>
          <w:rFonts w:ascii="Nunito Sans" w:hAnsi="Nunito Sans"/>
          <w:b/>
          <w:bCs/>
          <w:color w:val="690048"/>
          <w:sz w:val="28"/>
          <w:szCs w:val="28"/>
        </w:rPr>
        <w:tab/>
      </w:r>
    </w:p>
    <w:p w14:paraId="0AD75FBB" w14:textId="62873D5D" w:rsidR="00CC4B08" w:rsidRDefault="00CC4B08" w:rsidP="00CC4B08">
      <w:pPr>
        <w:pStyle w:val="QIDANParagraph"/>
      </w:pPr>
      <w:r>
        <w:t>This section covers sections 18 to 20 of the Consultation Paper.</w:t>
      </w:r>
    </w:p>
    <w:p w14:paraId="7F8A1BB7" w14:textId="0BD917DC" w:rsidR="008A1993" w:rsidRPr="007477AF" w:rsidRDefault="008D253F" w:rsidP="003215D3">
      <w:pPr>
        <w:pStyle w:val="QIDANParagraph"/>
      </w:pPr>
      <w:r>
        <w:t xml:space="preserve">As disability </w:t>
      </w:r>
      <w:r w:rsidR="00CC4B08">
        <w:t>advocates,</w:t>
      </w:r>
      <w:r>
        <w:t xml:space="preserve"> we observe that frameworks and strategies, </w:t>
      </w:r>
      <w:r w:rsidRPr="008D253F">
        <w:t xml:space="preserve">while well-intentioned, </w:t>
      </w:r>
      <w:r w:rsidR="00896CAB">
        <w:t>often</w:t>
      </w:r>
      <w:r>
        <w:t xml:space="preserve"> do not achieve </w:t>
      </w:r>
      <w:r w:rsidRPr="008D253F">
        <w:t>their purpose in practice</w:t>
      </w:r>
      <w:r>
        <w:t xml:space="preserve"> as</w:t>
      </w:r>
      <w:r w:rsidR="00C15534">
        <w:t xml:space="preserve"> rely </w:t>
      </w:r>
      <w:r w:rsidRPr="008D253F">
        <w:t xml:space="preserve">heavily on discretionary compliance, lack meaningful accountability, and place a disproportionate burden </w:t>
      </w:r>
      <w:r w:rsidR="00C15534">
        <w:t xml:space="preserve">on people with disability to </w:t>
      </w:r>
      <w:r w:rsidRPr="008D253F">
        <w:t>secure basic rights.</w:t>
      </w:r>
      <w:r w:rsidR="0018096F">
        <w:t xml:space="preserve"> The Framework and Strategy </w:t>
      </w:r>
      <w:r w:rsidR="0018096F" w:rsidRPr="0018096F">
        <w:t xml:space="preserve">must provide clear obligations, enforceable mechanisms, and consistent national oversight to drive cultural and practice change. Only through stronger, rights-based </w:t>
      </w:r>
      <w:r w:rsidR="00F41CF8">
        <w:t>model</w:t>
      </w:r>
      <w:r w:rsidR="0018096F" w:rsidRPr="0018096F">
        <w:t xml:space="preserve"> can we ensure </w:t>
      </w:r>
      <w:r w:rsidR="00EC7D28">
        <w:t>safeguards and quality</w:t>
      </w:r>
      <w:r w:rsidR="0018096F" w:rsidRPr="0018096F">
        <w:t xml:space="preserve"> is not aspirational, optional or discretionary, but guaranteed for </w:t>
      </w:r>
      <w:r w:rsidR="00EC7D28">
        <w:t xml:space="preserve">every person with disability. </w:t>
      </w:r>
      <w:r w:rsidR="00B1605F">
        <w:t>This must include obligations to all providers involved a person’s life to communicate with each other</w:t>
      </w:r>
      <w:r w:rsidR="00865F6E">
        <w:t>, in a type of mandatory “Circle of Supports” (as mentioned before)</w:t>
      </w:r>
      <w:r w:rsidR="00803868">
        <w:t>. Without enforcing</w:t>
      </w:r>
      <w:r w:rsidR="00BD10B5">
        <w:t xml:space="preserve"> systems t</w:t>
      </w:r>
      <w:r w:rsidR="00A42693">
        <w:t>hat</w:t>
      </w:r>
      <w:r w:rsidR="00BD10B5">
        <w:t xml:space="preserve"> work together, people with disability will continue to fall between the gaps, accessing services that do not meet their needs. </w:t>
      </w:r>
    </w:p>
    <w:p w14:paraId="1666FD84" w14:textId="77777777" w:rsidR="00824A47" w:rsidRDefault="00824A47" w:rsidP="005D562F">
      <w:pPr>
        <w:pStyle w:val="Heading1"/>
        <w:spacing w:before="240"/>
        <w:rPr>
          <w:rFonts w:ascii="Nunito Sans" w:hAnsi="Nunito Sans"/>
          <w:b/>
          <w:bCs/>
          <w:color w:val="690048"/>
          <w:sz w:val="28"/>
          <w:szCs w:val="28"/>
        </w:rPr>
      </w:pPr>
      <w:bookmarkStart w:id="6" w:name="_Toc216981090"/>
      <w:r>
        <w:rPr>
          <w:rFonts w:ascii="Nunito Sans" w:hAnsi="Nunito Sans"/>
          <w:b/>
          <w:bCs/>
          <w:color w:val="690048"/>
          <w:sz w:val="28"/>
          <w:szCs w:val="28"/>
        </w:rPr>
        <w:lastRenderedPageBreak/>
        <w:t>Disability leadership</w:t>
      </w:r>
      <w:bookmarkEnd w:id="6"/>
    </w:p>
    <w:p w14:paraId="08187285" w14:textId="3751197F" w:rsidR="00824A47" w:rsidRPr="002B2325" w:rsidRDefault="00824A47" w:rsidP="00824A47">
      <w:pPr>
        <w:spacing w:before="120" w:line="360" w:lineRule="auto"/>
        <w:rPr>
          <w:rFonts w:ascii="Nunito Sans" w:hAnsi="Nunito Sans"/>
        </w:rPr>
      </w:pPr>
      <w:r w:rsidRPr="002B2325">
        <w:rPr>
          <w:rFonts w:ascii="Nunito Sans" w:hAnsi="Nunito Sans"/>
        </w:rPr>
        <w:t xml:space="preserve">There is desperate need for further representation of people with disability in the decisions and systems that are intended to support them, this Framework and Strategy must </w:t>
      </w:r>
      <w:r w:rsidR="00841AC2">
        <w:rPr>
          <w:rFonts w:ascii="Nunito Sans" w:hAnsi="Nunito Sans"/>
        </w:rPr>
        <w:t>be led by people with disability</w:t>
      </w:r>
      <w:r w:rsidRPr="002B2325">
        <w:rPr>
          <w:rFonts w:ascii="Nunito Sans" w:hAnsi="Nunito Sans"/>
        </w:rPr>
        <w:t>. Ensuring that people with disability are included in planning, implementing and improving their support systems is the bare minimum and carries the risk of being tokenistic. In a Framework and Strategy that will be instrumental in ensuring that people with disability are safe, supported and empowered, the bare minimum and tokenism is insufficient.</w:t>
      </w:r>
      <w:r>
        <w:rPr>
          <w:rFonts w:ascii="Nunito Sans" w:hAnsi="Nunito Sans"/>
        </w:rPr>
        <w:t xml:space="preserve"> The DRC has stated the importance of people with disability being in leadership positions, but such recommendations have been either “noted” by the government and not given the attention require</w:t>
      </w:r>
      <w:r w:rsidR="00916151">
        <w:rPr>
          <w:rFonts w:ascii="Nunito Sans" w:hAnsi="Nunito Sans"/>
        </w:rPr>
        <w:t>d</w:t>
      </w:r>
      <w:r>
        <w:rPr>
          <w:rFonts w:ascii="Nunito Sans" w:hAnsi="Nunito Sans"/>
        </w:rPr>
        <w:t>.</w:t>
      </w:r>
      <w:r w:rsidRPr="002B2325">
        <w:rPr>
          <w:rFonts w:ascii="Nunito Sans" w:hAnsi="Nunito Sans"/>
        </w:rPr>
        <w:t xml:space="preserve"> It is important to note that the appointment of a </w:t>
      </w:r>
      <w:r>
        <w:rPr>
          <w:rFonts w:ascii="Nunito Sans" w:hAnsi="Nunito Sans"/>
        </w:rPr>
        <w:t>disability minister</w:t>
      </w:r>
      <w:r w:rsidRPr="002B2325">
        <w:rPr>
          <w:rFonts w:ascii="Nunito Sans" w:hAnsi="Nunito Sans"/>
        </w:rPr>
        <w:t xml:space="preserve"> and a NDIS </w:t>
      </w:r>
      <w:r>
        <w:rPr>
          <w:rFonts w:ascii="Nunito Sans" w:hAnsi="Nunito Sans"/>
        </w:rPr>
        <w:t>M</w:t>
      </w:r>
      <w:r w:rsidRPr="002B2325">
        <w:rPr>
          <w:rFonts w:ascii="Nunito Sans" w:hAnsi="Nunito Sans"/>
        </w:rPr>
        <w:t xml:space="preserve">inister is </w:t>
      </w:r>
      <w:r>
        <w:rPr>
          <w:rFonts w:ascii="Nunito Sans" w:hAnsi="Nunito Sans"/>
        </w:rPr>
        <w:t>not enough to meet the meaning of “disability led”</w:t>
      </w:r>
      <w:r w:rsidRPr="002B2325">
        <w:rPr>
          <w:rFonts w:ascii="Nunito Sans" w:hAnsi="Nunito Sans"/>
        </w:rPr>
        <w:t>, especially in the absence of meaningful consultation and collaboration with people with disability. To ensure effective safeguarding and uphold its key pillars of transparency and accountability, it is crucial that the Framework and Strategy are disability</w:t>
      </w:r>
      <w:r w:rsidR="00612F1F">
        <w:rPr>
          <w:rFonts w:ascii="Nunito Sans" w:hAnsi="Nunito Sans"/>
        </w:rPr>
        <w:t xml:space="preserve"> </w:t>
      </w:r>
      <w:r w:rsidRPr="002B2325">
        <w:rPr>
          <w:rFonts w:ascii="Nunito Sans" w:hAnsi="Nunito Sans"/>
        </w:rPr>
        <w:t>led.</w:t>
      </w:r>
      <w:r>
        <w:rPr>
          <w:rFonts w:ascii="Nunito Sans" w:hAnsi="Nunito Sans"/>
        </w:rPr>
        <w:t xml:space="preserve"> This must include people with disability leading the work that will affect their lives and the quality of support they access.</w:t>
      </w:r>
    </w:p>
    <w:p w14:paraId="2CEE0952" w14:textId="2B7657F2" w:rsidR="00824A47" w:rsidRDefault="00824A47" w:rsidP="00824A47">
      <w:pPr>
        <w:pStyle w:val="QIDANParagraph"/>
      </w:pPr>
      <w:r w:rsidRPr="002B2325">
        <w:t>A disability</w:t>
      </w:r>
      <w:r w:rsidR="00612F1F">
        <w:t xml:space="preserve"> </w:t>
      </w:r>
      <w:r w:rsidRPr="002B2325">
        <w:t>led approach goes beyond the mere partnership and collaborative approach of co-design by ensuring that the lived experience and expertise of people with disability is driving the change and leading decision-making processes. In practice, disability leadership must include</w:t>
      </w:r>
      <w:r>
        <w:t xml:space="preserve"> formal appointment of people with disability to guide the planning, implementation and roll out of the Framework and Strategy. </w:t>
      </w:r>
    </w:p>
    <w:p w14:paraId="514A8E0F" w14:textId="57FE0A76" w:rsidR="00BB4085" w:rsidRDefault="00BB4085" w:rsidP="00BB4085">
      <w:pPr>
        <w:pStyle w:val="Heading1"/>
        <w:rPr>
          <w:rFonts w:ascii="Nunito Sans" w:hAnsi="Nunito Sans"/>
          <w:b/>
          <w:bCs/>
          <w:color w:val="690048"/>
          <w:sz w:val="28"/>
          <w:szCs w:val="28"/>
        </w:rPr>
      </w:pPr>
      <w:bookmarkStart w:id="7" w:name="_Toc216981091"/>
      <w:r w:rsidRPr="00BB4085">
        <w:rPr>
          <w:rFonts w:ascii="Nunito Sans" w:hAnsi="Nunito Sans"/>
          <w:b/>
          <w:bCs/>
          <w:color w:val="690048"/>
          <w:sz w:val="28"/>
          <w:szCs w:val="28"/>
        </w:rPr>
        <w:t>Conclusion</w:t>
      </w:r>
      <w:bookmarkEnd w:id="7"/>
    </w:p>
    <w:p w14:paraId="3735B869" w14:textId="607294A6" w:rsidR="00BB4085" w:rsidRPr="00BB4085" w:rsidRDefault="0058280E" w:rsidP="00BB4085">
      <w:pPr>
        <w:pStyle w:val="QIDANParagraph"/>
      </w:pPr>
      <w:r>
        <w:t xml:space="preserve">QIDAN is thankful for the opportunity to contribute to this consultation. We are happy to provide further </w:t>
      </w:r>
      <w:r w:rsidR="00205BD7">
        <w:t>information or clarification of any of the matters discussed in this submission upon request.</w:t>
      </w:r>
    </w:p>
    <w:sectPr w:rsidR="00BB4085" w:rsidRPr="00BB4085" w:rsidSect="00AB480C">
      <w:headerReference w:type="default" r:id="rId11"/>
      <w:footerReference w:type="even" r:id="rId12"/>
      <w:footerReference w:type="default" r:id="rId13"/>
      <w:headerReference w:type="first" r:id="rId14"/>
      <w:footerReference w:type="first" r:id="rId15"/>
      <w:pgSz w:w="11901" w:h="16817"/>
      <w:pgMar w:top="1440" w:right="1080" w:bottom="1134" w:left="1080" w:header="0" w:footer="7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C519" w14:textId="77777777" w:rsidR="00032AD1" w:rsidRDefault="00032AD1" w:rsidP="003A4839">
      <w:r>
        <w:separator/>
      </w:r>
    </w:p>
  </w:endnote>
  <w:endnote w:type="continuationSeparator" w:id="0">
    <w:p w14:paraId="0930BC29" w14:textId="77777777" w:rsidR="00032AD1" w:rsidRDefault="00032AD1" w:rsidP="003A4839">
      <w:r>
        <w:continuationSeparator/>
      </w:r>
    </w:p>
  </w:endnote>
  <w:endnote w:type="continuationNotice" w:id="1">
    <w:p w14:paraId="32EC25F1" w14:textId="77777777" w:rsidR="00032AD1" w:rsidRDefault="00032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SemiBold">
    <w:charset w:val="00"/>
    <w:family w:val="auto"/>
    <w:pitch w:val="variable"/>
    <w:sig w:usb0="00008007" w:usb1="00000000" w:usb2="00000000" w:usb3="00000000" w:csb0="00000093" w:csb1="00000000"/>
  </w:font>
  <w:font w:name="Nunito Sans">
    <w:charset w:val="00"/>
    <w:family w:val="auto"/>
    <w:pitch w:val="variable"/>
    <w:sig w:usb0="A00002FF" w:usb1="5000204B" w:usb2="00000000" w:usb3="00000000" w:csb0="00000197"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3757904"/>
      <w:docPartObj>
        <w:docPartGallery w:val="Page Numbers (Bottom of Page)"/>
        <w:docPartUnique/>
      </w:docPartObj>
    </w:sdtPr>
    <w:sdtEndPr>
      <w:rPr>
        <w:rStyle w:val="PageNumber"/>
      </w:rPr>
    </w:sdtEndPr>
    <w:sdtContent>
      <w:p w14:paraId="0EA8B7E5" w14:textId="77777777" w:rsidR="002C77FC" w:rsidRDefault="002C77FC" w:rsidP="008315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A37360" w14:textId="77777777" w:rsidR="002C77FC" w:rsidRDefault="002C77FC" w:rsidP="002C77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Nunito Sans" w:hAnsi="Nunito Sans"/>
        <w:color w:val="690048"/>
        <w:sz w:val="20"/>
        <w:szCs w:val="20"/>
      </w:rPr>
      <w:id w:val="2107300553"/>
      <w:docPartObj>
        <w:docPartGallery w:val="Page Numbers (Bottom of Page)"/>
        <w:docPartUnique/>
      </w:docPartObj>
    </w:sdtPr>
    <w:sdtEndPr>
      <w:rPr>
        <w:rStyle w:val="PageNumber"/>
      </w:rPr>
    </w:sdtEndPr>
    <w:sdtContent>
      <w:p w14:paraId="7EEE3337" w14:textId="77777777" w:rsidR="002C77FC" w:rsidRPr="00C2622E" w:rsidRDefault="002C77FC" w:rsidP="00831558">
        <w:pPr>
          <w:pStyle w:val="Footer"/>
          <w:framePr w:wrap="none" w:vAnchor="text" w:hAnchor="margin" w:xAlign="right" w:y="1"/>
          <w:rPr>
            <w:rStyle w:val="PageNumber"/>
            <w:rFonts w:ascii="Nunito Sans" w:hAnsi="Nunito Sans"/>
            <w:color w:val="690048"/>
            <w:sz w:val="20"/>
            <w:szCs w:val="20"/>
          </w:rPr>
        </w:pPr>
        <w:r w:rsidRPr="00C2622E">
          <w:rPr>
            <w:rStyle w:val="PageNumber"/>
            <w:rFonts w:ascii="Nunito Sans" w:hAnsi="Nunito Sans"/>
            <w:color w:val="690048"/>
            <w:sz w:val="20"/>
            <w:szCs w:val="20"/>
          </w:rPr>
          <w:fldChar w:fldCharType="begin"/>
        </w:r>
        <w:r w:rsidRPr="00C2622E">
          <w:rPr>
            <w:rStyle w:val="PageNumber"/>
            <w:rFonts w:ascii="Nunito Sans" w:hAnsi="Nunito Sans"/>
            <w:color w:val="690048"/>
            <w:sz w:val="20"/>
            <w:szCs w:val="20"/>
          </w:rPr>
          <w:instrText xml:space="preserve"> PAGE </w:instrText>
        </w:r>
        <w:r w:rsidRPr="00C2622E">
          <w:rPr>
            <w:rStyle w:val="PageNumber"/>
            <w:rFonts w:ascii="Nunito Sans" w:hAnsi="Nunito Sans"/>
            <w:color w:val="690048"/>
            <w:sz w:val="20"/>
            <w:szCs w:val="20"/>
          </w:rPr>
          <w:fldChar w:fldCharType="separate"/>
        </w:r>
        <w:r w:rsidRPr="00C2622E">
          <w:rPr>
            <w:rStyle w:val="PageNumber"/>
            <w:rFonts w:ascii="Nunito Sans" w:hAnsi="Nunito Sans"/>
            <w:noProof/>
            <w:color w:val="690048"/>
            <w:sz w:val="20"/>
            <w:szCs w:val="20"/>
          </w:rPr>
          <w:t>2</w:t>
        </w:r>
        <w:r w:rsidRPr="00C2622E">
          <w:rPr>
            <w:rStyle w:val="PageNumber"/>
            <w:rFonts w:ascii="Nunito Sans" w:hAnsi="Nunito Sans"/>
            <w:color w:val="690048"/>
            <w:sz w:val="20"/>
            <w:szCs w:val="20"/>
          </w:rPr>
          <w:fldChar w:fldCharType="end"/>
        </w:r>
      </w:p>
    </w:sdtContent>
  </w:sdt>
  <w:p w14:paraId="132FB06E" w14:textId="29869E09" w:rsidR="002C77FC" w:rsidRPr="002C77FC" w:rsidRDefault="002C77FC" w:rsidP="002C77FC">
    <w:pPr>
      <w:ind w:right="360"/>
      <w:jc w:val="right"/>
      <w:rPr>
        <w:rFonts w:ascii="Nunito Sans" w:hAnsi="Nunito Sans"/>
        <w:color w:val="690048"/>
        <w:sz w:val="20"/>
        <w:szCs w:val="20"/>
        <w:lang w:val="en-AU"/>
      </w:rPr>
    </w:pPr>
    <w:r w:rsidRPr="002C77FC">
      <w:rPr>
        <w:rFonts w:ascii="Nunito Sans" w:hAnsi="Nunito Sans"/>
        <w:color w:val="690048"/>
        <w:sz w:val="20"/>
        <w:szCs w:val="20"/>
        <w:lang w:val="en-AU"/>
      </w:rPr>
      <w:t>QIDAN</w:t>
    </w:r>
    <w:r>
      <w:rPr>
        <w:rFonts w:ascii="Nunito Sans" w:hAnsi="Nunito Sans"/>
        <w:color w:val="690048"/>
        <w:sz w:val="20"/>
        <w:szCs w:val="20"/>
        <w:lang w:val="en-AU"/>
      </w:rPr>
      <w:t xml:space="preserve"> </w:t>
    </w:r>
    <w:r w:rsidR="00311A0E">
      <w:rPr>
        <w:rFonts w:ascii="Nunito Sans" w:hAnsi="Nunito Sans"/>
        <w:color w:val="690048"/>
        <w:sz w:val="20"/>
        <w:szCs w:val="20"/>
        <w:lang w:val="en-AU"/>
      </w:rPr>
      <w:t>Re</w:t>
    </w:r>
    <w:r w:rsidR="009F33EE">
      <w:rPr>
        <w:rFonts w:ascii="Nunito Sans" w:hAnsi="Nunito Sans"/>
        <w:color w:val="690048"/>
        <w:sz w:val="20"/>
        <w:szCs w:val="20"/>
        <w:lang w:val="en-AU"/>
      </w:rPr>
      <w:t>sponse to the Disability Safeguards Consultation Paper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CA44" w14:textId="77777777" w:rsidR="00E55601" w:rsidRPr="00E55601" w:rsidRDefault="00E55601">
    <w:pPr>
      <w:pStyle w:val="Footer"/>
      <w:rPr>
        <w:rFonts w:ascii="Nunito Sans" w:hAnsi="Nunito Sans"/>
        <w:b/>
        <w:bCs/>
        <w:color w:val="FFFFFF" w:themeColor="background1"/>
        <w:sz w:val="20"/>
        <w:szCs w:val="20"/>
        <w:lang w:val="en-US"/>
      </w:rPr>
    </w:pPr>
    <w:r w:rsidRPr="00E55601">
      <w:rPr>
        <w:rFonts w:ascii="Nunito Sans" w:hAnsi="Nunito Sans"/>
        <w:b/>
        <w:bCs/>
        <w:color w:val="FAC2A7"/>
        <w:sz w:val="20"/>
        <w:szCs w:val="20"/>
        <w:lang w:val="en-US"/>
      </w:rPr>
      <w:t>Working together</w:t>
    </w:r>
    <w:r w:rsidRPr="00E55601">
      <w:rPr>
        <w:rFonts w:ascii="Nunito Sans" w:hAnsi="Nunito Sans"/>
        <w:b/>
        <w:bCs/>
        <w:color w:val="F26722"/>
        <w:sz w:val="20"/>
        <w:szCs w:val="20"/>
        <w:lang w:val="en-US"/>
      </w:rPr>
      <w:t xml:space="preserve"> </w:t>
    </w:r>
    <w:r w:rsidRPr="00E55601">
      <w:rPr>
        <w:rFonts w:ascii="Nunito Sans" w:hAnsi="Nunito Sans"/>
        <w:b/>
        <w:bCs/>
        <w:color w:val="FFFFFF" w:themeColor="background1"/>
        <w:sz w:val="20"/>
        <w:szCs w:val="20"/>
        <w:lang w:val="en-US"/>
      </w:rPr>
      <w:t>to achieve positive change for people with disability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8497" w14:textId="77777777" w:rsidR="00032AD1" w:rsidRDefault="00032AD1" w:rsidP="003A4839">
      <w:r>
        <w:separator/>
      </w:r>
    </w:p>
  </w:footnote>
  <w:footnote w:type="continuationSeparator" w:id="0">
    <w:p w14:paraId="663F3E6C" w14:textId="77777777" w:rsidR="00032AD1" w:rsidRDefault="00032AD1" w:rsidP="003A4839">
      <w:r>
        <w:continuationSeparator/>
      </w:r>
    </w:p>
  </w:footnote>
  <w:footnote w:type="continuationNotice" w:id="1">
    <w:p w14:paraId="007C0544" w14:textId="77777777" w:rsidR="00032AD1" w:rsidRDefault="00032AD1"/>
  </w:footnote>
  <w:footnote w:id="2">
    <w:p w14:paraId="74EF7CCB" w14:textId="2DA449D1" w:rsidR="006267B7" w:rsidRPr="006267B7" w:rsidRDefault="006267B7">
      <w:pPr>
        <w:pStyle w:val="FootnoteText"/>
        <w:rPr>
          <w:lang w:val="en-AU"/>
        </w:rPr>
      </w:pPr>
      <w:r>
        <w:rPr>
          <w:rStyle w:val="FootnoteReference"/>
        </w:rPr>
        <w:footnoteRef/>
      </w:r>
      <w:r>
        <w:t xml:space="preserve"> </w:t>
      </w:r>
      <w:hyperlink r:id="rId1" w:history="1">
        <w:r w:rsidR="0088285F" w:rsidRPr="00440A2E">
          <w:rPr>
            <w:rStyle w:val="Hyperlink"/>
          </w:rPr>
          <w:t>https://disabilitypathways.org.au/wp-content/uploads/2025/03/20250306-QIDAN-submission-Mandatory-registration-of-SIL-providers-and-SC.pdf</w:t>
        </w:r>
      </w:hyperlink>
      <w:r w:rsidR="0088285F">
        <w:t xml:space="preserve"> </w:t>
      </w:r>
    </w:p>
  </w:footnote>
  <w:footnote w:id="3">
    <w:p w14:paraId="7428BECD" w14:textId="4B51369E" w:rsidR="00283B0B" w:rsidRPr="00283B0B" w:rsidRDefault="00283B0B">
      <w:pPr>
        <w:pStyle w:val="FootnoteText"/>
        <w:rPr>
          <w:lang w:val="en-AU"/>
        </w:rPr>
      </w:pPr>
      <w:r>
        <w:rPr>
          <w:rStyle w:val="FootnoteReference"/>
        </w:rPr>
        <w:footnoteRef/>
      </w:r>
      <w:r>
        <w:t xml:space="preserve"> </w:t>
      </w:r>
      <w:hyperlink r:id="rId2" w:history="1">
        <w:r w:rsidRPr="00440A2E">
          <w:rPr>
            <w:rStyle w:val="Hyperlink"/>
          </w:rPr>
          <w:t>https://www.health.gov.au/committees-and-groups/ndis-provider-and-worker-registration-taskforce?language=en</w:t>
        </w:r>
      </w:hyperlink>
      <w:r>
        <w:t xml:space="preserve"> </w:t>
      </w:r>
    </w:p>
  </w:footnote>
  <w:footnote w:id="4">
    <w:p w14:paraId="6BA9AEED" w14:textId="77777777" w:rsidR="00C96781" w:rsidRPr="00934654" w:rsidRDefault="00C96781" w:rsidP="00C96781">
      <w:pPr>
        <w:pStyle w:val="FootnoteText"/>
        <w:rPr>
          <w:lang w:val="en-AU"/>
        </w:rPr>
      </w:pPr>
      <w:r>
        <w:rPr>
          <w:rStyle w:val="FootnoteReference"/>
        </w:rPr>
        <w:footnoteRef/>
      </w:r>
      <w:r>
        <w:t xml:space="preserve"> </w:t>
      </w:r>
      <w:r>
        <w:rPr>
          <w:lang w:val="en-AU"/>
        </w:rPr>
        <w:t xml:space="preserve">Please refer to our submissions to </w:t>
      </w:r>
      <w:hyperlink r:id="rId3" w:history="1">
        <w:r w:rsidRPr="00C005DB">
          <w:rPr>
            <w:rStyle w:val="Hyperlink"/>
            <w:lang w:val="en-AU"/>
          </w:rPr>
          <w:t>General Foundational Supports</w:t>
        </w:r>
      </w:hyperlink>
      <w:r>
        <w:rPr>
          <w:lang w:val="en-AU"/>
        </w:rPr>
        <w:t xml:space="preserve"> and </w:t>
      </w:r>
      <w:hyperlink r:id="rId4" w:history="1">
        <w:r w:rsidRPr="00F75CA7">
          <w:rPr>
            <w:rStyle w:val="Hyperlink"/>
            <w:lang w:val="en-AU"/>
          </w:rPr>
          <w:t>Targeted Foundational Supports</w:t>
        </w:r>
      </w:hyperlink>
      <w:r>
        <w:rPr>
          <w:lang w:val="en-AU"/>
        </w:rPr>
        <w:t>.</w:t>
      </w:r>
    </w:p>
  </w:footnote>
  <w:footnote w:id="5">
    <w:p w14:paraId="61517016" w14:textId="38C5FA88" w:rsidR="0095275A" w:rsidRPr="0095275A" w:rsidRDefault="0095275A">
      <w:pPr>
        <w:pStyle w:val="FootnoteText"/>
        <w:rPr>
          <w:lang w:val="en-AU"/>
        </w:rPr>
      </w:pPr>
      <w:r>
        <w:rPr>
          <w:rStyle w:val="FootnoteReference"/>
        </w:rPr>
        <w:footnoteRef/>
      </w:r>
      <w:r>
        <w:t xml:space="preserve"> </w:t>
      </w:r>
      <w:hyperlink r:id="rId5" w:history="1">
        <w:r w:rsidRPr="00440A2E">
          <w:rPr>
            <w:rStyle w:val="Hyperlink"/>
          </w:rPr>
          <w:t>https://qai.org.au/wp-content/uploads/2024/03/Inquiry-into-Supported-Accommodation-Feb-2024.pdf</w:t>
        </w:r>
      </w:hyperlink>
      <w:r>
        <w:t xml:space="preserve"> </w:t>
      </w:r>
    </w:p>
  </w:footnote>
  <w:footnote w:id="6">
    <w:p w14:paraId="65E363C0" w14:textId="0E7405B4" w:rsidR="00B97688" w:rsidRPr="0009682E" w:rsidRDefault="00B97688" w:rsidP="00B97688">
      <w:pPr>
        <w:pStyle w:val="FootnoteText"/>
        <w:rPr>
          <w:rFonts w:ascii="Nunito Sans" w:hAnsi="Nunito Sans"/>
          <w:lang w:val="en-AU"/>
        </w:rPr>
      </w:pPr>
      <w:r w:rsidRPr="0009682E">
        <w:rPr>
          <w:rStyle w:val="FootnoteReference"/>
          <w:rFonts w:ascii="Nunito Sans" w:hAnsi="Nunito Sans"/>
        </w:rPr>
        <w:footnoteRef/>
      </w:r>
      <w:r w:rsidRPr="0009682E">
        <w:rPr>
          <w:rFonts w:ascii="Nunito Sans" w:hAnsi="Nunito Sans"/>
        </w:rPr>
        <w:t xml:space="preserve"> ADA Law and Queensland Advocacy for Inclusion (QAI), ‘Supported Decision Making: Helping people to make their own decisions (A guide for adults and those supporting them)’, </w:t>
      </w:r>
      <w:r w:rsidRPr="0009682E">
        <w:rPr>
          <w:rFonts w:ascii="Nunito Sans" w:hAnsi="Nunito Sans"/>
          <w:lang w:val="en-AU"/>
        </w:rPr>
        <w:t xml:space="preserve">page 26 </w:t>
      </w:r>
      <w:hyperlink r:id="rId6" w:history="1">
        <w:r w:rsidR="00A239E4" w:rsidRPr="00440A2E">
          <w:rPr>
            <w:rStyle w:val="Hyperlink"/>
            <w:rFonts w:ascii="Nunito Sans" w:hAnsi="Nunito Sans"/>
            <w:lang w:val="en-AU"/>
          </w:rPr>
          <w:t>https://qai.org.au/wp-content/uploads/2023/06/Supported-Decision-Making-Guide-ADA-and-QAI.pdf</w:t>
        </w:r>
      </w:hyperlink>
      <w:r w:rsidRPr="0009682E">
        <w:rPr>
          <w:rFonts w:ascii="Nunito Sans" w:hAnsi="Nunito Sans"/>
          <w:lang w:val="en-AU"/>
        </w:rPr>
        <w:t>.</w:t>
      </w:r>
    </w:p>
  </w:footnote>
  <w:footnote w:id="7">
    <w:p w14:paraId="5F769B15" w14:textId="01A63D99" w:rsidR="00B97688" w:rsidRPr="0009682E" w:rsidRDefault="00B97688" w:rsidP="00B97688">
      <w:pPr>
        <w:pStyle w:val="FootnoteText"/>
        <w:rPr>
          <w:rFonts w:ascii="Nunito Sans" w:hAnsi="Nunito Sans"/>
          <w:lang w:val="en-AU"/>
        </w:rPr>
      </w:pPr>
      <w:r w:rsidRPr="0009682E">
        <w:rPr>
          <w:rStyle w:val="FootnoteReference"/>
          <w:rFonts w:ascii="Nunito Sans" w:hAnsi="Nunito Sans"/>
        </w:rPr>
        <w:footnoteRef/>
      </w:r>
      <w:r w:rsidRPr="0009682E">
        <w:rPr>
          <w:rFonts w:ascii="Nunito Sans" w:hAnsi="Nunito Sans"/>
        </w:rPr>
        <w:t xml:space="preserve"> </w:t>
      </w:r>
      <w:r w:rsidR="008A7E72">
        <w:rPr>
          <w:rFonts w:ascii="Nunito Sans" w:hAnsi="Nunito Sans"/>
        </w:rPr>
        <w:t>DRC Final Report,</w:t>
      </w:r>
      <w:r w:rsidRPr="0009682E">
        <w:rPr>
          <w:rFonts w:ascii="Nunito Sans" w:hAnsi="Nunito Sans"/>
          <w:lang w:val="en-AU"/>
        </w:rPr>
        <w:t xml:space="preserve"> </w:t>
      </w:r>
      <w:r w:rsidR="008A7E72">
        <w:rPr>
          <w:rFonts w:ascii="Nunito Sans" w:hAnsi="Nunito Sans"/>
          <w:lang w:val="en-AU"/>
        </w:rPr>
        <w:t>V</w:t>
      </w:r>
      <w:r w:rsidRPr="0009682E">
        <w:rPr>
          <w:rFonts w:ascii="Nunito Sans" w:hAnsi="Nunito Sans"/>
          <w:lang w:val="en-AU"/>
        </w:rPr>
        <w:t>ol 6, page 123</w:t>
      </w:r>
      <w:r w:rsidR="008A7E72">
        <w:rPr>
          <w:rFonts w:ascii="Nunito Sans" w:hAnsi="Nunito Sans"/>
          <w:lang w:val="en-AU"/>
        </w:rPr>
        <w:t>.</w:t>
      </w:r>
    </w:p>
  </w:footnote>
  <w:footnote w:id="8">
    <w:p w14:paraId="642868C4" w14:textId="77777777" w:rsidR="00B97688" w:rsidRPr="0009682E" w:rsidRDefault="00B97688" w:rsidP="00B97688">
      <w:pPr>
        <w:pStyle w:val="FootnoteText"/>
        <w:rPr>
          <w:rFonts w:ascii="Nunito Sans" w:hAnsi="Nunito Sans"/>
        </w:rPr>
      </w:pPr>
      <w:r w:rsidRPr="0009682E">
        <w:rPr>
          <w:rStyle w:val="FootnoteReference"/>
          <w:rFonts w:ascii="Nunito Sans" w:hAnsi="Nunito Sans"/>
        </w:rPr>
        <w:footnoteRef/>
      </w:r>
      <w:r w:rsidRPr="0009682E">
        <w:rPr>
          <w:rFonts w:ascii="Nunito Sans" w:hAnsi="Nunito Sans"/>
        </w:rPr>
        <w:t xml:space="preserve"> Queensland Advocacy for Inclusion (QAI), ‘Supported Decision-Making publication to the Office of the Public Advocate’, page 3 </w:t>
      </w:r>
      <w:hyperlink r:id="rId7" w:history="1">
        <w:r w:rsidRPr="0009682E">
          <w:rPr>
            <w:rStyle w:val="Hyperlink"/>
            <w:rFonts w:ascii="Nunito Sans" w:hAnsi="Nunito Sans"/>
          </w:rPr>
          <w:t>https://qai.org.au/wp-content/uploads/2023/12/QAIs-submission-for-the-OPA-Supported-Decision-Making-publication-.pdf</w:t>
        </w:r>
      </w:hyperlink>
      <w:r w:rsidRPr="0009682E">
        <w:rPr>
          <w:rFonts w:ascii="Nunito Sans" w:hAnsi="Nunito Sans"/>
        </w:rPr>
        <w:t xml:space="preserve"> (‘QAI Supported Decision-Making Publication’).</w:t>
      </w:r>
    </w:p>
  </w:footnote>
  <w:footnote w:id="9">
    <w:p w14:paraId="7D4815DE" w14:textId="77777777" w:rsidR="00B97688" w:rsidRPr="0009682E" w:rsidRDefault="00B97688" w:rsidP="00B97688">
      <w:pPr>
        <w:pStyle w:val="FootnoteText"/>
        <w:rPr>
          <w:rFonts w:ascii="Nunito Sans" w:hAnsi="Nunito Sans"/>
        </w:rPr>
      </w:pPr>
      <w:r w:rsidRPr="0009682E">
        <w:rPr>
          <w:rStyle w:val="FootnoteReference"/>
          <w:rFonts w:ascii="Nunito Sans" w:hAnsi="Nunito Sans"/>
        </w:rPr>
        <w:footnoteRef/>
      </w:r>
      <w:r w:rsidRPr="0009682E">
        <w:rPr>
          <w:rFonts w:ascii="Nunito Sans" w:hAnsi="Nunito Sans"/>
        </w:rPr>
        <w:t xml:space="preserve"> QAI Supported Decision-Making Publication, page 3.</w:t>
      </w:r>
    </w:p>
  </w:footnote>
  <w:footnote w:id="10">
    <w:p w14:paraId="2E5CB695" w14:textId="225CFF0F" w:rsidR="00864630" w:rsidRPr="00D50A44" w:rsidRDefault="00864630" w:rsidP="00864630">
      <w:pPr>
        <w:pStyle w:val="FootnoteText"/>
      </w:pPr>
      <w:r w:rsidRPr="00D50A44">
        <w:rPr>
          <w:rStyle w:val="FootnoteReference"/>
        </w:rPr>
        <w:footnoteRef/>
      </w:r>
      <w:r w:rsidRPr="00D50A44">
        <w:t xml:space="preserve"> National Disability Insurance Scheme (2023). </w:t>
      </w:r>
      <w:r w:rsidRPr="00D50A44">
        <w:rPr>
          <w:i/>
          <w:iCs/>
        </w:rPr>
        <w:t>NDIS Review: working together to deliver the NDIS</w:t>
      </w:r>
      <w:r w:rsidRPr="00D50A44">
        <w:t>. Pg. 57</w:t>
      </w:r>
      <w:r w:rsidR="009430D8">
        <w:t xml:space="preserve">; DRC Final Report, Volume 6, pages </w:t>
      </w:r>
      <w:r w:rsidR="00AB5F18">
        <w:t>289-304.</w:t>
      </w:r>
    </w:p>
  </w:footnote>
  <w:footnote w:id="11">
    <w:p w14:paraId="52F33BD2" w14:textId="5C7939B3" w:rsidR="007A0BD7" w:rsidRPr="0009682E" w:rsidRDefault="007A0BD7" w:rsidP="007A0BD7">
      <w:pPr>
        <w:pStyle w:val="FootnoteText"/>
        <w:rPr>
          <w:rFonts w:ascii="Nunito Sans" w:hAnsi="Nunito Sans"/>
          <w:lang w:val="en-US"/>
        </w:rPr>
      </w:pPr>
      <w:r w:rsidRPr="0009682E">
        <w:rPr>
          <w:rStyle w:val="FootnoteReference"/>
          <w:rFonts w:ascii="Nunito Sans" w:hAnsi="Nunito Sans"/>
        </w:rPr>
        <w:footnoteRef/>
      </w:r>
      <w:r w:rsidRPr="0009682E">
        <w:rPr>
          <w:rFonts w:ascii="Nunito Sans" w:hAnsi="Nunito Sans"/>
        </w:rPr>
        <w:t xml:space="preserve"> </w:t>
      </w:r>
      <w:r w:rsidRPr="0009682E">
        <w:rPr>
          <w:rFonts w:ascii="Nunito Sans" w:hAnsi="Nunito Sans"/>
          <w:i/>
          <w:iCs/>
        </w:rPr>
        <w:t>National Disability Insurance Scheme Amendment (Integrity and Safeguarding) Bill 2024</w:t>
      </w:r>
      <w:r w:rsidR="00436AA8" w:rsidRPr="0009682E">
        <w:rPr>
          <w:rFonts w:ascii="Nunito Sans" w:hAnsi="Nunito Sans"/>
        </w:rPr>
        <w:t xml:space="preserve"> (</w:t>
      </w:r>
      <w:proofErr w:type="spellStart"/>
      <w:r w:rsidR="00436AA8" w:rsidRPr="0009682E">
        <w:rPr>
          <w:rFonts w:ascii="Nunito Sans" w:hAnsi="Nunito Sans"/>
        </w:rPr>
        <w:t>Cth</w:t>
      </w:r>
      <w:proofErr w:type="spellEnd"/>
      <w:r w:rsidR="00436AA8" w:rsidRPr="0009682E">
        <w:rPr>
          <w:rFonts w:ascii="Nunito Sans" w:hAnsi="Nunito Sans"/>
        </w:rPr>
        <w:t>).</w:t>
      </w:r>
      <w:r w:rsidRPr="0009682E">
        <w:rPr>
          <w:rFonts w:ascii="Nunito Sans" w:hAnsi="Nunito Sans"/>
        </w:rPr>
        <w:t xml:space="preserve"> </w:t>
      </w:r>
    </w:p>
  </w:footnote>
  <w:footnote w:id="12">
    <w:p w14:paraId="584AD356" w14:textId="405E42B4" w:rsidR="007A0BD7" w:rsidRPr="0009682E" w:rsidRDefault="007A0BD7" w:rsidP="007A0BD7">
      <w:pPr>
        <w:pStyle w:val="FootnoteText"/>
        <w:rPr>
          <w:rFonts w:ascii="Nunito Sans" w:hAnsi="Nunito Sans"/>
          <w:lang w:val="en-US"/>
        </w:rPr>
      </w:pPr>
      <w:r w:rsidRPr="0009682E">
        <w:rPr>
          <w:rStyle w:val="FootnoteReference"/>
          <w:rFonts w:ascii="Nunito Sans" w:hAnsi="Nunito Sans"/>
        </w:rPr>
        <w:footnoteRef/>
      </w:r>
      <w:r w:rsidRPr="0009682E">
        <w:rPr>
          <w:rFonts w:ascii="Nunito Sans" w:hAnsi="Nunito Sans"/>
        </w:rPr>
        <w:t xml:space="preserve"> </w:t>
      </w:r>
      <w:r w:rsidR="00BE3EC3" w:rsidRPr="0009682E">
        <w:rPr>
          <w:rFonts w:ascii="Nunito Sans" w:hAnsi="Nunito Sans"/>
        </w:rPr>
        <w:t>Queensland Advocacy for Inclusion</w:t>
      </w:r>
      <w:r w:rsidR="00533B1E" w:rsidRPr="0009682E">
        <w:rPr>
          <w:rFonts w:ascii="Nunito Sans" w:hAnsi="Nunito Sans"/>
        </w:rPr>
        <w:t xml:space="preserve"> (QAI)</w:t>
      </w:r>
      <w:r w:rsidR="00BE3EC3" w:rsidRPr="0009682E">
        <w:rPr>
          <w:rFonts w:ascii="Nunito Sans" w:hAnsi="Nunito Sans"/>
        </w:rPr>
        <w:t>,</w:t>
      </w:r>
      <w:r w:rsidR="00CC2E3C" w:rsidRPr="0009682E">
        <w:rPr>
          <w:rFonts w:ascii="Nunito Sans" w:hAnsi="Nunito Sans"/>
        </w:rPr>
        <w:t xml:space="preserve"> </w:t>
      </w:r>
      <w:r w:rsidR="00C73E9E" w:rsidRPr="0009682E">
        <w:rPr>
          <w:rFonts w:ascii="Nunito Sans" w:hAnsi="Nunito Sans"/>
        </w:rPr>
        <w:t xml:space="preserve">‘NDIS Review to </w:t>
      </w:r>
      <w:r w:rsidR="009D2A2A" w:rsidRPr="0009682E">
        <w:rPr>
          <w:rFonts w:ascii="Nunito Sans" w:hAnsi="Nunito Sans"/>
        </w:rPr>
        <w:t>the NDIS Review Panel</w:t>
      </w:r>
      <w:r w:rsidR="00004D74" w:rsidRPr="0009682E">
        <w:rPr>
          <w:rFonts w:ascii="Nunito Sans" w:hAnsi="Nunito Sans"/>
        </w:rPr>
        <w:t>’, page 19</w:t>
      </w:r>
      <w:r w:rsidR="00BE3EC3" w:rsidRPr="0009682E">
        <w:rPr>
          <w:rFonts w:ascii="Nunito Sans" w:hAnsi="Nunito Sans"/>
        </w:rPr>
        <w:t xml:space="preserve"> </w:t>
      </w:r>
      <w:hyperlink r:id="rId8" w:history="1">
        <w:r w:rsidR="00CC2E3C" w:rsidRPr="0009682E">
          <w:rPr>
            <w:rStyle w:val="Hyperlink"/>
            <w:rFonts w:ascii="Nunito Sans" w:hAnsi="Nunito Sans"/>
          </w:rPr>
          <w:t>https://qai.org.au/wp-content/uploads/2023/09/NDIS-Review-to-the-NDIS-Review-Panel-September-2023.pdf</w:t>
        </w:r>
      </w:hyperlink>
      <w:r w:rsidRPr="0009682E">
        <w:rPr>
          <w:rFonts w:ascii="Nunito Sans" w:hAnsi="Nunito Sans"/>
        </w:rPr>
        <w:t xml:space="preserve"> </w:t>
      </w:r>
      <w:r w:rsidR="00533B1E" w:rsidRPr="0009682E">
        <w:rPr>
          <w:rFonts w:ascii="Nunito Sans" w:hAnsi="Nunito Sans"/>
        </w:rPr>
        <w:t>(‘QAI Submission to the NDIS Review’).</w:t>
      </w:r>
    </w:p>
  </w:footnote>
  <w:footnote w:id="13">
    <w:p w14:paraId="499A613C" w14:textId="13174CCE" w:rsidR="007A0BD7" w:rsidRPr="0009682E" w:rsidRDefault="007A0BD7" w:rsidP="007A0BD7">
      <w:pPr>
        <w:pStyle w:val="FootnoteText"/>
        <w:rPr>
          <w:rFonts w:ascii="Nunito Sans" w:hAnsi="Nunito Sans"/>
          <w:lang w:val="en-US"/>
        </w:rPr>
      </w:pPr>
      <w:r w:rsidRPr="0009682E">
        <w:rPr>
          <w:rStyle w:val="FootnoteReference"/>
          <w:rFonts w:ascii="Nunito Sans" w:hAnsi="Nunito Sans"/>
        </w:rPr>
        <w:footnoteRef/>
      </w:r>
      <w:r w:rsidRPr="0009682E">
        <w:rPr>
          <w:rFonts w:ascii="Nunito Sans" w:hAnsi="Nunito Sans"/>
        </w:rPr>
        <w:t xml:space="preserve">  </w:t>
      </w:r>
      <w:hyperlink r:id="rId9" w:history="1">
        <w:r w:rsidR="00533B1E" w:rsidRPr="0009682E">
          <w:rPr>
            <w:rStyle w:val="Hyperlink"/>
            <w:rFonts w:ascii="Nunito Sans" w:hAnsi="Nunito Sans"/>
          </w:rPr>
          <w:t>QAI</w:t>
        </w:r>
      </w:hyperlink>
      <w:r w:rsidR="00533B1E" w:rsidRPr="0009682E">
        <w:rPr>
          <w:rFonts w:ascii="Nunito Sans" w:hAnsi="Nunito Sans"/>
        </w:rPr>
        <w:t xml:space="preserve"> Submission to the NDIS Review, page</w:t>
      </w:r>
      <w:r w:rsidR="00680339" w:rsidRPr="0009682E">
        <w:rPr>
          <w:rFonts w:ascii="Nunito Sans" w:hAnsi="Nunito Sans"/>
        </w:rPr>
        <w:t xml:space="preserve"> 19.</w:t>
      </w:r>
    </w:p>
  </w:footnote>
  <w:footnote w:id="14">
    <w:p w14:paraId="2EF18C78" w14:textId="25F9472F" w:rsidR="00650BCB" w:rsidRPr="00650BCB" w:rsidRDefault="00650BCB">
      <w:pPr>
        <w:pStyle w:val="FootnoteText"/>
        <w:rPr>
          <w:lang w:val="en-AU"/>
        </w:rPr>
      </w:pPr>
      <w:r>
        <w:rPr>
          <w:rStyle w:val="FootnoteReference"/>
        </w:rPr>
        <w:footnoteRef/>
      </w:r>
      <w:r>
        <w:t xml:space="preserve"> </w:t>
      </w:r>
      <w:hyperlink r:id="rId10" w:history="1">
        <w:r w:rsidRPr="00440A2E">
          <w:rPr>
            <w:rStyle w:val="Hyperlink"/>
          </w:rPr>
          <w:t>https://www.health.gov.au/resources/publications/disability-royal-commission-progress-report-2025/volume-10-disability-services/recommendation-1010-provider-of-last-resort?language=en</w:t>
        </w:r>
      </w:hyperlink>
      <w:r>
        <w:t xml:space="preserve"> </w:t>
      </w:r>
    </w:p>
  </w:footnote>
  <w:footnote w:id="15">
    <w:p w14:paraId="42911037" w14:textId="38F5DF05" w:rsidR="007A0BD7" w:rsidRPr="0009682E" w:rsidRDefault="007A0BD7" w:rsidP="007A0BD7">
      <w:pPr>
        <w:pStyle w:val="FootnoteText"/>
        <w:rPr>
          <w:rFonts w:ascii="Nunito Sans" w:hAnsi="Nunito Sans"/>
        </w:rPr>
      </w:pPr>
      <w:r w:rsidRPr="0009682E">
        <w:rPr>
          <w:rStyle w:val="FootnoteReference"/>
          <w:rFonts w:ascii="Nunito Sans" w:hAnsi="Nunito Sans"/>
        </w:rPr>
        <w:footnoteRef/>
      </w:r>
      <w:r w:rsidRPr="0009682E">
        <w:rPr>
          <w:rFonts w:ascii="Nunito Sans" w:hAnsi="Nunito Sans"/>
        </w:rPr>
        <w:t xml:space="preserve"> DRC </w:t>
      </w:r>
      <w:r w:rsidR="004C2703" w:rsidRPr="0009682E">
        <w:rPr>
          <w:rFonts w:ascii="Nunito Sans" w:hAnsi="Nunito Sans"/>
        </w:rPr>
        <w:t>Final Report, vol 11, page 7.</w:t>
      </w:r>
    </w:p>
  </w:footnote>
  <w:footnote w:id="16">
    <w:p w14:paraId="5227EA84" w14:textId="77777777" w:rsidR="007A0BD7" w:rsidRPr="0009682E" w:rsidRDefault="007A0BD7" w:rsidP="007A0BD7">
      <w:pPr>
        <w:pStyle w:val="FootnoteText"/>
        <w:rPr>
          <w:rFonts w:ascii="Nunito Sans" w:hAnsi="Nunito Sans"/>
        </w:rPr>
      </w:pPr>
      <w:r w:rsidRPr="0009682E">
        <w:rPr>
          <w:rStyle w:val="FootnoteReference"/>
          <w:rFonts w:ascii="Nunito Sans" w:hAnsi="Nunito Sans"/>
        </w:rPr>
        <w:footnoteRef/>
      </w:r>
      <w:r w:rsidRPr="0009682E">
        <w:rPr>
          <w:rFonts w:ascii="Nunito Sans" w:hAnsi="Nunito Sans"/>
        </w:rPr>
        <w:t xml:space="preserve"> Taskforce Advice, </w:t>
      </w:r>
      <w:proofErr w:type="spellStart"/>
      <w:r w:rsidRPr="0009682E">
        <w:rPr>
          <w:rFonts w:ascii="Nunito Sans" w:hAnsi="Nunito Sans"/>
        </w:rPr>
        <w:t>pg</w:t>
      </w:r>
      <w:proofErr w:type="spellEnd"/>
      <w:r w:rsidRPr="0009682E">
        <w:rPr>
          <w:rFonts w:ascii="Nunito Sans" w:hAnsi="Nunito Sans"/>
        </w:rPr>
        <w:t xml:space="preserve"> 49</w:t>
      </w:r>
    </w:p>
  </w:footnote>
  <w:footnote w:id="17">
    <w:p w14:paraId="7EE219FF" w14:textId="09BE0644" w:rsidR="007A0BD7" w:rsidRPr="0009682E" w:rsidRDefault="007A0BD7" w:rsidP="007A0BD7">
      <w:pPr>
        <w:pStyle w:val="FootnoteText"/>
        <w:rPr>
          <w:rFonts w:ascii="Nunito Sans" w:hAnsi="Nunito Sans"/>
        </w:rPr>
      </w:pPr>
      <w:r w:rsidRPr="0009682E">
        <w:rPr>
          <w:rStyle w:val="FootnoteReference"/>
          <w:rFonts w:ascii="Nunito Sans" w:hAnsi="Nunito Sans"/>
        </w:rPr>
        <w:footnoteRef/>
      </w:r>
      <w:r w:rsidRPr="0009682E">
        <w:rPr>
          <w:rFonts w:ascii="Nunito Sans" w:hAnsi="Nunito Sans"/>
        </w:rPr>
        <w:t xml:space="preserve"> </w:t>
      </w:r>
      <w:r w:rsidR="000D4A3D" w:rsidRPr="0009682E">
        <w:rPr>
          <w:rFonts w:ascii="Nunito Sans" w:hAnsi="Nunito Sans"/>
        </w:rPr>
        <w:t>DRC Final Report, vol 6, page</w:t>
      </w:r>
      <w:r w:rsidR="007B6FDF">
        <w:rPr>
          <w:rFonts w:ascii="Nunito Sans" w:hAnsi="Nunito Sans"/>
        </w:rPr>
        <w:t>s 263, 302 and</w:t>
      </w:r>
      <w:r w:rsidR="000D4A3D" w:rsidRPr="0009682E">
        <w:rPr>
          <w:rFonts w:ascii="Nunito Sans" w:hAnsi="Nunito Sans"/>
        </w:rPr>
        <w:t xml:space="preserve">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0BBC" w14:textId="77777777" w:rsidR="003A4839" w:rsidRDefault="003A4839">
    <w:pPr>
      <w:pStyle w:val="Header"/>
    </w:pPr>
    <w:r>
      <w:rPr>
        <w:noProof/>
      </w:rPr>
      <w:drawing>
        <wp:anchor distT="0" distB="0" distL="114300" distR="114300" simplePos="0" relativeHeight="251658240" behindDoc="1" locked="0" layoutInCell="1" allowOverlap="0" wp14:anchorId="076856E1" wp14:editId="793D028D">
          <wp:simplePos x="0" y="0"/>
          <wp:positionH relativeFrom="page">
            <wp:posOffset>279779</wp:posOffset>
          </wp:positionH>
          <wp:positionV relativeFrom="page">
            <wp:posOffset>-286603</wp:posOffset>
          </wp:positionV>
          <wp:extent cx="7559400" cy="10684800"/>
          <wp:effectExtent l="0" t="0" r="0" b="0"/>
          <wp:wrapNone/>
          <wp:docPr id="1111354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2041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3DCD" w14:textId="77777777" w:rsidR="003A4839" w:rsidRDefault="003A4839">
    <w:pPr>
      <w:pStyle w:val="Header"/>
    </w:pPr>
    <w:r>
      <w:rPr>
        <w:noProof/>
      </w:rPr>
      <w:drawing>
        <wp:anchor distT="0" distB="0" distL="114300" distR="114300" simplePos="0" relativeHeight="251658241" behindDoc="1" locked="0" layoutInCell="1" allowOverlap="0" wp14:anchorId="5F210CF7" wp14:editId="11FB409E">
          <wp:simplePos x="0" y="0"/>
          <wp:positionH relativeFrom="page">
            <wp:align>left</wp:align>
          </wp:positionH>
          <wp:positionV relativeFrom="page">
            <wp:align>top</wp:align>
          </wp:positionV>
          <wp:extent cx="7559400" cy="10684800"/>
          <wp:effectExtent l="0" t="0" r="0" b="0"/>
          <wp:wrapNone/>
          <wp:docPr id="14277033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8781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5BF"/>
    <w:multiLevelType w:val="hybridMultilevel"/>
    <w:tmpl w:val="E2BC010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7E11B5"/>
    <w:multiLevelType w:val="multilevel"/>
    <w:tmpl w:val="F6B8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B2563"/>
    <w:multiLevelType w:val="multilevel"/>
    <w:tmpl w:val="F6FA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DD5BE2"/>
    <w:multiLevelType w:val="multilevel"/>
    <w:tmpl w:val="878C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C63EF"/>
    <w:multiLevelType w:val="hybridMultilevel"/>
    <w:tmpl w:val="423093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5D977DF"/>
    <w:multiLevelType w:val="hybridMultilevel"/>
    <w:tmpl w:val="0C50B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9F4C57"/>
    <w:multiLevelType w:val="multilevel"/>
    <w:tmpl w:val="D19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746A33"/>
    <w:multiLevelType w:val="multilevel"/>
    <w:tmpl w:val="D93E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AA6695"/>
    <w:multiLevelType w:val="hybridMultilevel"/>
    <w:tmpl w:val="85126B26"/>
    <w:lvl w:ilvl="0" w:tplc="10F86EAC">
      <w:start w:val="1"/>
      <w:numFmt w:val="decimal"/>
      <w:lvlText w:val="%1."/>
      <w:lvlJc w:val="left"/>
      <w:pPr>
        <w:ind w:left="720"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61104D"/>
    <w:multiLevelType w:val="hybridMultilevel"/>
    <w:tmpl w:val="7BEEF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32399D"/>
    <w:multiLevelType w:val="multilevel"/>
    <w:tmpl w:val="E7A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982F1D"/>
    <w:multiLevelType w:val="multilevel"/>
    <w:tmpl w:val="3A10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1E21C6"/>
    <w:multiLevelType w:val="hybridMultilevel"/>
    <w:tmpl w:val="E2E894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8952FC"/>
    <w:multiLevelType w:val="hybridMultilevel"/>
    <w:tmpl w:val="8B861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C47D79"/>
    <w:multiLevelType w:val="hybridMultilevel"/>
    <w:tmpl w:val="8BAEFA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6026289">
    <w:abstractNumId w:val="5"/>
  </w:num>
  <w:num w:numId="2" w16cid:durableId="1487817575">
    <w:abstractNumId w:val="12"/>
  </w:num>
  <w:num w:numId="3" w16cid:durableId="1743791060">
    <w:abstractNumId w:val="14"/>
  </w:num>
  <w:num w:numId="4" w16cid:durableId="1289625149">
    <w:abstractNumId w:val="4"/>
  </w:num>
  <w:num w:numId="5" w16cid:durableId="889851886">
    <w:abstractNumId w:val="9"/>
  </w:num>
  <w:num w:numId="6" w16cid:durableId="535388990">
    <w:abstractNumId w:val="0"/>
  </w:num>
  <w:num w:numId="7" w16cid:durableId="1514612095">
    <w:abstractNumId w:val="8"/>
  </w:num>
  <w:num w:numId="8" w16cid:durableId="1357583810">
    <w:abstractNumId w:val="1"/>
  </w:num>
  <w:num w:numId="9" w16cid:durableId="525870353">
    <w:abstractNumId w:val="11"/>
  </w:num>
  <w:num w:numId="10" w16cid:durableId="1993440262">
    <w:abstractNumId w:val="7"/>
  </w:num>
  <w:num w:numId="11" w16cid:durableId="1828667156">
    <w:abstractNumId w:val="10"/>
  </w:num>
  <w:num w:numId="12" w16cid:durableId="358968931">
    <w:abstractNumId w:val="2"/>
  </w:num>
  <w:num w:numId="13" w16cid:durableId="2039889564">
    <w:abstractNumId w:val="3"/>
  </w:num>
  <w:num w:numId="14" w16cid:durableId="1482889025">
    <w:abstractNumId w:val="6"/>
  </w:num>
  <w:num w:numId="15" w16cid:durableId="3416694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51"/>
    <w:rsid w:val="0000162B"/>
    <w:rsid w:val="00004D74"/>
    <w:rsid w:val="0000727C"/>
    <w:rsid w:val="0000799C"/>
    <w:rsid w:val="00007EF1"/>
    <w:rsid w:val="000101F9"/>
    <w:rsid w:val="00010BD8"/>
    <w:rsid w:val="00012E69"/>
    <w:rsid w:val="000142AA"/>
    <w:rsid w:val="00014C8B"/>
    <w:rsid w:val="0001521B"/>
    <w:rsid w:val="000155EF"/>
    <w:rsid w:val="00015D99"/>
    <w:rsid w:val="00021F3C"/>
    <w:rsid w:val="00025BF9"/>
    <w:rsid w:val="00025CD4"/>
    <w:rsid w:val="00032AD1"/>
    <w:rsid w:val="00032E45"/>
    <w:rsid w:val="000369AA"/>
    <w:rsid w:val="00037181"/>
    <w:rsid w:val="0004095A"/>
    <w:rsid w:val="000416FB"/>
    <w:rsid w:val="00043BAC"/>
    <w:rsid w:val="0004606B"/>
    <w:rsid w:val="00050803"/>
    <w:rsid w:val="0005141D"/>
    <w:rsid w:val="00053C5F"/>
    <w:rsid w:val="00053D31"/>
    <w:rsid w:val="0005565B"/>
    <w:rsid w:val="00055F35"/>
    <w:rsid w:val="00062813"/>
    <w:rsid w:val="00062AE3"/>
    <w:rsid w:val="00063E72"/>
    <w:rsid w:val="00066AB4"/>
    <w:rsid w:val="00066CFD"/>
    <w:rsid w:val="00067E29"/>
    <w:rsid w:val="000706C4"/>
    <w:rsid w:val="00076C95"/>
    <w:rsid w:val="00077E67"/>
    <w:rsid w:val="0008052B"/>
    <w:rsid w:val="00082DAD"/>
    <w:rsid w:val="00085A81"/>
    <w:rsid w:val="000865EC"/>
    <w:rsid w:val="000865F5"/>
    <w:rsid w:val="00092F56"/>
    <w:rsid w:val="000933B3"/>
    <w:rsid w:val="000938A7"/>
    <w:rsid w:val="00094B7F"/>
    <w:rsid w:val="00094C2A"/>
    <w:rsid w:val="00095F89"/>
    <w:rsid w:val="0009602C"/>
    <w:rsid w:val="00096716"/>
    <w:rsid w:val="0009682E"/>
    <w:rsid w:val="000A01FE"/>
    <w:rsid w:val="000A1764"/>
    <w:rsid w:val="000A2610"/>
    <w:rsid w:val="000A46BC"/>
    <w:rsid w:val="000A4BD6"/>
    <w:rsid w:val="000A548D"/>
    <w:rsid w:val="000A62DE"/>
    <w:rsid w:val="000A7774"/>
    <w:rsid w:val="000B3436"/>
    <w:rsid w:val="000B45AF"/>
    <w:rsid w:val="000B7CD4"/>
    <w:rsid w:val="000C0358"/>
    <w:rsid w:val="000C15D5"/>
    <w:rsid w:val="000C41BB"/>
    <w:rsid w:val="000C45C8"/>
    <w:rsid w:val="000C69CC"/>
    <w:rsid w:val="000D0D3A"/>
    <w:rsid w:val="000D4A3D"/>
    <w:rsid w:val="000D56EA"/>
    <w:rsid w:val="000D63CF"/>
    <w:rsid w:val="000D7388"/>
    <w:rsid w:val="000E0927"/>
    <w:rsid w:val="000E0F27"/>
    <w:rsid w:val="000E3D46"/>
    <w:rsid w:val="000E494D"/>
    <w:rsid w:val="000F04EE"/>
    <w:rsid w:val="000F115D"/>
    <w:rsid w:val="000F1D90"/>
    <w:rsid w:val="000F7153"/>
    <w:rsid w:val="001006F5"/>
    <w:rsid w:val="00102545"/>
    <w:rsid w:val="001029A6"/>
    <w:rsid w:val="00102C92"/>
    <w:rsid w:val="00103C89"/>
    <w:rsid w:val="00103E81"/>
    <w:rsid w:val="00112439"/>
    <w:rsid w:val="00112CEF"/>
    <w:rsid w:val="001151E0"/>
    <w:rsid w:val="001165CC"/>
    <w:rsid w:val="0012074C"/>
    <w:rsid w:val="00120996"/>
    <w:rsid w:val="00120DA3"/>
    <w:rsid w:val="0012429D"/>
    <w:rsid w:val="00127FD8"/>
    <w:rsid w:val="00131812"/>
    <w:rsid w:val="001325E3"/>
    <w:rsid w:val="001326EB"/>
    <w:rsid w:val="00133B0F"/>
    <w:rsid w:val="001423B3"/>
    <w:rsid w:val="00144BD1"/>
    <w:rsid w:val="00147A78"/>
    <w:rsid w:val="001506E4"/>
    <w:rsid w:val="00150827"/>
    <w:rsid w:val="00151457"/>
    <w:rsid w:val="00151D33"/>
    <w:rsid w:val="00155B39"/>
    <w:rsid w:val="0015689C"/>
    <w:rsid w:val="001644CC"/>
    <w:rsid w:val="00165880"/>
    <w:rsid w:val="00165D83"/>
    <w:rsid w:val="0016669D"/>
    <w:rsid w:val="00170CA5"/>
    <w:rsid w:val="00172CE0"/>
    <w:rsid w:val="0017336A"/>
    <w:rsid w:val="00173F10"/>
    <w:rsid w:val="001742A5"/>
    <w:rsid w:val="001756C1"/>
    <w:rsid w:val="00176A07"/>
    <w:rsid w:val="001802CE"/>
    <w:rsid w:val="0018095F"/>
    <w:rsid w:val="0018096F"/>
    <w:rsid w:val="001815D2"/>
    <w:rsid w:val="00185DB3"/>
    <w:rsid w:val="00186A8D"/>
    <w:rsid w:val="00187735"/>
    <w:rsid w:val="001939C7"/>
    <w:rsid w:val="0019413C"/>
    <w:rsid w:val="001964B4"/>
    <w:rsid w:val="00196A82"/>
    <w:rsid w:val="00196FDA"/>
    <w:rsid w:val="001A08A8"/>
    <w:rsid w:val="001A1A71"/>
    <w:rsid w:val="001A2EA7"/>
    <w:rsid w:val="001A2F86"/>
    <w:rsid w:val="001A31CB"/>
    <w:rsid w:val="001A5900"/>
    <w:rsid w:val="001A5B12"/>
    <w:rsid w:val="001A6256"/>
    <w:rsid w:val="001A7494"/>
    <w:rsid w:val="001A7AFA"/>
    <w:rsid w:val="001B259C"/>
    <w:rsid w:val="001B4174"/>
    <w:rsid w:val="001B4C60"/>
    <w:rsid w:val="001B54C2"/>
    <w:rsid w:val="001B568E"/>
    <w:rsid w:val="001C1DE1"/>
    <w:rsid w:val="001C2B32"/>
    <w:rsid w:val="001C3301"/>
    <w:rsid w:val="001C3446"/>
    <w:rsid w:val="001C4EC2"/>
    <w:rsid w:val="001C6DFB"/>
    <w:rsid w:val="001C7F04"/>
    <w:rsid w:val="001D4667"/>
    <w:rsid w:val="001D60FB"/>
    <w:rsid w:val="001E2102"/>
    <w:rsid w:val="001E5AD4"/>
    <w:rsid w:val="001E5B5C"/>
    <w:rsid w:val="001E6F1A"/>
    <w:rsid w:val="001E70A9"/>
    <w:rsid w:val="001F0434"/>
    <w:rsid w:val="001F094D"/>
    <w:rsid w:val="001F1465"/>
    <w:rsid w:val="001F2E8D"/>
    <w:rsid w:val="001F342A"/>
    <w:rsid w:val="001F3B38"/>
    <w:rsid w:val="001F4E1F"/>
    <w:rsid w:val="001F654F"/>
    <w:rsid w:val="001F6B91"/>
    <w:rsid w:val="001F78DC"/>
    <w:rsid w:val="00202571"/>
    <w:rsid w:val="00202FEF"/>
    <w:rsid w:val="0020374C"/>
    <w:rsid w:val="00203BE8"/>
    <w:rsid w:val="00204165"/>
    <w:rsid w:val="00204CC6"/>
    <w:rsid w:val="00205060"/>
    <w:rsid w:val="00205BD7"/>
    <w:rsid w:val="00207793"/>
    <w:rsid w:val="0020798C"/>
    <w:rsid w:val="00215411"/>
    <w:rsid w:val="0021676F"/>
    <w:rsid w:val="00217B79"/>
    <w:rsid w:val="00220129"/>
    <w:rsid w:val="00220131"/>
    <w:rsid w:val="002203A2"/>
    <w:rsid w:val="0022347E"/>
    <w:rsid w:val="002254CE"/>
    <w:rsid w:val="0022604D"/>
    <w:rsid w:val="00226FAD"/>
    <w:rsid w:val="00231D93"/>
    <w:rsid w:val="002328C8"/>
    <w:rsid w:val="00233632"/>
    <w:rsid w:val="0023508B"/>
    <w:rsid w:val="00235303"/>
    <w:rsid w:val="00236B82"/>
    <w:rsid w:val="00236FB6"/>
    <w:rsid w:val="002376AA"/>
    <w:rsid w:val="00242754"/>
    <w:rsid w:val="00243935"/>
    <w:rsid w:val="00243E37"/>
    <w:rsid w:val="0024625B"/>
    <w:rsid w:val="002466C1"/>
    <w:rsid w:val="00253149"/>
    <w:rsid w:val="00254964"/>
    <w:rsid w:val="00254E5D"/>
    <w:rsid w:val="00257569"/>
    <w:rsid w:val="00260F4C"/>
    <w:rsid w:val="00264658"/>
    <w:rsid w:val="00264AAA"/>
    <w:rsid w:val="00265FDC"/>
    <w:rsid w:val="0026639D"/>
    <w:rsid w:val="002665BE"/>
    <w:rsid w:val="00271080"/>
    <w:rsid w:val="002720C9"/>
    <w:rsid w:val="00273FF5"/>
    <w:rsid w:val="00274388"/>
    <w:rsid w:val="0028340C"/>
    <w:rsid w:val="00283B0B"/>
    <w:rsid w:val="00290863"/>
    <w:rsid w:val="0029121A"/>
    <w:rsid w:val="00293913"/>
    <w:rsid w:val="00293D69"/>
    <w:rsid w:val="002A0564"/>
    <w:rsid w:val="002A123D"/>
    <w:rsid w:val="002A139B"/>
    <w:rsid w:val="002A21D5"/>
    <w:rsid w:val="002A3936"/>
    <w:rsid w:val="002B01BF"/>
    <w:rsid w:val="002B2325"/>
    <w:rsid w:val="002B2EE5"/>
    <w:rsid w:val="002B5CBE"/>
    <w:rsid w:val="002B685C"/>
    <w:rsid w:val="002C23A4"/>
    <w:rsid w:val="002C27AE"/>
    <w:rsid w:val="002C312C"/>
    <w:rsid w:val="002C4CB6"/>
    <w:rsid w:val="002C4CD3"/>
    <w:rsid w:val="002C69F8"/>
    <w:rsid w:val="002C77FC"/>
    <w:rsid w:val="002C7A8E"/>
    <w:rsid w:val="002D01CA"/>
    <w:rsid w:val="002D3221"/>
    <w:rsid w:val="002D4087"/>
    <w:rsid w:val="002D41EF"/>
    <w:rsid w:val="002D5D03"/>
    <w:rsid w:val="002D6E2B"/>
    <w:rsid w:val="002E1DEC"/>
    <w:rsid w:val="002E2973"/>
    <w:rsid w:val="002E41D0"/>
    <w:rsid w:val="002E65CA"/>
    <w:rsid w:val="002F06D5"/>
    <w:rsid w:val="002F0FA0"/>
    <w:rsid w:val="002F3146"/>
    <w:rsid w:val="002F652F"/>
    <w:rsid w:val="002F7ED2"/>
    <w:rsid w:val="00302F89"/>
    <w:rsid w:val="00304302"/>
    <w:rsid w:val="003054A5"/>
    <w:rsid w:val="00306C89"/>
    <w:rsid w:val="00306F6A"/>
    <w:rsid w:val="00311A0E"/>
    <w:rsid w:val="00311C7F"/>
    <w:rsid w:val="003128F6"/>
    <w:rsid w:val="00312E41"/>
    <w:rsid w:val="003133BE"/>
    <w:rsid w:val="0031418F"/>
    <w:rsid w:val="003164AD"/>
    <w:rsid w:val="0031684F"/>
    <w:rsid w:val="003201DA"/>
    <w:rsid w:val="003215D3"/>
    <w:rsid w:val="00321AEB"/>
    <w:rsid w:val="003220D2"/>
    <w:rsid w:val="003226C5"/>
    <w:rsid w:val="003241D8"/>
    <w:rsid w:val="00325FB8"/>
    <w:rsid w:val="00326BEE"/>
    <w:rsid w:val="00330DEB"/>
    <w:rsid w:val="00330E00"/>
    <w:rsid w:val="003319D0"/>
    <w:rsid w:val="0033396A"/>
    <w:rsid w:val="00334900"/>
    <w:rsid w:val="0033693C"/>
    <w:rsid w:val="003374C0"/>
    <w:rsid w:val="003377C4"/>
    <w:rsid w:val="00346241"/>
    <w:rsid w:val="00347192"/>
    <w:rsid w:val="00354205"/>
    <w:rsid w:val="00361906"/>
    <w:rsid w:val="00361D8A"/>
    <w:rsid w:val="00361EE3"/>
    <w:rsid w:val="00362FE8"/>
    <w:rsid w:val="00366C8B"/>
    <w:rsid w:val="0036792B"/>
    <w:rsid w:val="00367E71"/>
    <w:rsid w:val="00372DCA"/>
    <w:rsid w:val="00376CBE"/>
    <w:rsid w:val="00381583"/>
    <w:rsid w:val="00381FA7"/>
    <w:rsid w:val="003828B1"/>
    <w:rsid w:val="00382DC1"/>
    <w:rsid w:val="00384331"/>
    <w:rsid w:val="003845F4"/>
    <w:rsid w:val="00384DA6"/>
    <w:rsid w:val="00385148"/>
    <w:rsid w:val="003862FB"/>
    <w:rsid w:val="00386642"/>
    <w:rsid w:val="003878F5"/>
    <w:rsid w:val="00387F37"/>
    <w:rsid w:val="00390662"/>
    <w:rsid w:val="003922EE"/>
    <w:rsid w:val="00392DA0"/>
    <w:rsid w:val="0039340D"/>
    <w:rsid w:val="00393882"/>
    <w:rsid w:val="00394096"/>
    <w:rsid w:val="003950DD"/>
    <w:rsid w:val="003951C6"/>
    <w:rsid w:val="00395BFF"/>
    <w:rsid w:val="0039643C"/>
    <w:rsid w:val="00396890"/>
    <w:rsid w:val="003A0A80"/>
    <w:rsid w:val="003A0AB3"/>
    <w:rsid w:val="003A1737"/>
    <w:rsid w:val="003A419E"/>
    <w:rsid w:val="003A4839"/>
    <w:rsid w:val="003A6368"/>
    <w:rsid w:val="003A6677"/>
    <w:rsid w:val="003B1AAD"/>
    <w:rsid w:val="003B5A44"/>
    <w:rsid w:val="003B6593"/>
    <w:rsid w:val="003C0035"/>
    <w:rsid w:val="003C256C"/>
    <w:rsid w:val="003C355F"/>
    <w:rsid w:val="003C477D"/>
    <w:rsid w:val="003C4BB4"/>
    <w:rsid w:val="003C54D3"/>
    <w:rsid w:val="003C5A9F"/>
    <w:rsid w:val="003C742A"/>
    <w:rsid w:val="003D040A"/>
    <w:rsid w:val="003D23B9"/>
    <w:rsid w:val="003D2B46"/>
    <w:rsid w:val="003D6200"/>
    <w:rsid w:val="003D6980"/>
    <w:rsid w:val="003D795A"/>
    <w:rsid w:val="003D7AE2"/>
    <w:rsid w:val="003E2409"/>
    <w:rsid w:val="003E484B"/>
    <w:rsid w:val="003E59D9"/>
    <w:rsid w:val="003E7229"/>
    <w:rsid w:val="003F055D"/>
    <w:rsid w:val="003F0AF0"/>
    <w:rsid w:val="003F10E9"/>
    <w:rsid w:val="003F2F62"/>
    <w:rsid w:val="003F648D"/>
    <w:rsid w:val="003F64FA"/>
    <w:rsid w:val="003F66DC"/>
    <w:rsid w:val="003F7C25"/>
    <w:rsid w:val="0040054F"/>
    <w:rsid w:val="004018A0"/>
    <w:rsid w:val="0040497B"/>
    <w:rsid w:val="00407B99"/>
    <w:rsid w:val="0041645A"/>
    <w:rsid w:val="00417D71"/>
    <w:rsid w:val="00425C5D"/>
    <w:rsid w:val="00425DE5"/>
    <w:rsid w:val="00426BFC"/>
    <w:rsid w:val="00427C44"/>
    <w:rsid w:val="00427E92"/>
    <w:rsid w:val="00430122"/>
    <w:rsid w:val="00430866"/>
    <w:rsid w:val="0043128D"/>
    <w:rsid w:val="00431517"/>
    <w:rsid w:val="004317B3"/>
    <w:rsid w:val="00431B20"/>
    <w:rsid w:val="00431FDE"/>
    <w:rsid w:val="00432F3E"/>
    <w:rsid w:val="004346F0"/>
    <w:rsid w:val="00436AA8"/>
    <w:rsid w:val="00437249"/>
    <w:rsid w:val="00437A62"/>
    <w:rsid w:val="00437AB5"/>
    <w:rsid w:val="00437DDF"/>
    <w:rsid w:val="00440055"/>
    <w:rsid w:val="00445D80"/>
    <w:rsid w:val="00450400"/>
    <w:rsid w:val="004529AB"/>
    <w:rsid w:val="00454A8E"/>
    <w:rsid w:val="00455E9D"/>
    <w:rsid w:val="00456C06"/>
    <w:rsid w:val="0046003A"/>
    <w:rsid w:val="004601F1"/>
    <w:rsid w:val="00462A82"/>
    <w:rsid w:val="00464641"/>
    <w:rsid w:val="0046477C"/>
    <w:rsid w:val="004655C4"/>
    <w:rsid w:val="00466960"/>
    <w:rsid w:val="00470C85"/>
    <w:rsid w:val="004722C7"/>
    <w:rsid w:val="004727D8"/>
    <w:rsid w:val="00474977"/>
    <w:rsid w:val="004773D7"/>
    <w:rsid w:val="004825F0"/>
    <w:rsid w:val="0048584F"/>
    <w:rsid w:val="00486753"/>
    <w:rsid w:val="00486B53"/>
    <w:rsid w:val="004879A1"/>
    <w:rsid w:val="00490B4E"/>
    <w:rsid w:val="004916DD"/>
    <w:rsid w:val="00492B01"/>
    <w:rsid w:val="004933EE"/>
    <w:rsid w:val="00497578"/>
    <w:rsid w:val="0049769F"/>
    <w:rsid w:val="0049774F"/>
    <w:rsid w:val="00497AE9"/>
    <w:rsid w:val="00497FF3"/>
    <w:rsid w:val="004A2706"/>
    <w:rsid w:val="004A2AD4"/>
    <w:rsid w:val="004A3A84"/>
    <w:rsid w:val="004A55A1"/>
    <w:rsid w:val="004A7A1A"/>
    <w:rsid w:val="004B09C7"/>
    <w:rsid w:val="004B1262"/>
    <w:rsid w:val="004B24B6"/>
    <w:rsid w:val="004B59DC"/>
    <w:rsid w:val="004B7ED3"/>
    <w:rsid w:val="004C0832"/>
    <w:rsid w:val="004C2703"/>
    <w:rsid w:val="004C43C3"/>
    <w:rsid w:val="004D1BCE"/>
    <w:rsid w:val="004D1D54"/>
    <w:rsid w:val="004D3203"/>
    <w:rsid w:val="004D33A8"/>
    <w:rsid w:val="004D3AC9"/>
    <w:rsid w:val="004D516F"/>
    <w:rsid w:val="004D533C"/>
    <w:rsid w:val="004D5D63"/>
    <w:rsid w:val="004D67B8"/>
    <w:rsid w:val="004E26E3"/>
    <w:rsid w:val="004E4842"/>
    <w:rsid w:val="004E4A30"/>
    <w:rsid w:val="004E58DD"/>
    <w:rsid w:val="004E6ADB"/>
    <w:rsid w:val="004E77FD"/>
    <w:rsid w:val="004F1218"/>
    <w:rsid w:val="004F150F"/>
    <w:rsid w:val="004F1CB9"/>
    <w:rsid w:val="004F2272"/>
    <w:rsid w:val="004F2CD1"/>
    <w:rsid w:val="004F37EF"/>
    <w:rsid w:val="004F3ECD"/>
    <w:rsid w:val="004F4D9D"/>
    <w:rsid w:val="004F649F"/>
    <w:rsid w:val="004F6F61"/>
    <w:rsid w:val="004F70B7"/>
    <w:rsid w:val="004F7481"/>
    <w:rsid w:val="004F76BF"/>
    <w:rsid w:val="005003D6"/>
    <w:rsid w:val="00500736"/>
    <w:rsid w:val="00501174"/>
    <w:rsid w:val="0050171C"/>
    <w:rsid w:val="00501AB0"/>
    <w:rsid w:val="00503D52"/>
    <w:rsid w:val="00504CA5"/>
    <w:rsid w:val="00506BCD"/>
    <w:rsid w:val="00507104"/>
    <w:rsid w:val="00511C59"/>
    <w:rsid w:val="005124BA"/>
    <w:rsid w:val="005129EF"/>
    <w:rsid w:val="0051342E"/>
    <w:rsid w:val="0051444F"/>
    <w:rsid w:val="00514785"/>
    <w:rsid w:val="005153EE"/>
    <w:rsid w:val="00517C42"/>
    <w:rsid w:val="005214B5"/>
    <w:rsid w:val="00522ECA"/>
    <w:rsid w:val="00522FA4"/>
    <w:rsid w:val="00523C7B"/>
    <w:rsid w:val="00526D5F"/>
    <w:rsid w:val="0052762B"/>
    <w:rsid w:val="005312A2"/>
    <w:rsid w:val="00532528"/>
    <w:rsid w:val="00533B1E"/>
    <w:rsid w:val="00534AFB"/>
    <w:rsid w:val="00535DE6"/>
    <w:rsid w:val="005379BC"/>
    <w:rsid w:val="00537DBE"/>
    <w:rsid w:val="00540DE2"/>
    <w:rsid w:val="00543620"/>
    <w:rsid w:val="00544599"/>
    <w:rsid w:val="005447E2"/>
    <w:rsid w:val="0054483B"/>
    <w:rsid w:val="00546372"/>
    <w:rsid w:val="00546E02"/>
    <w:rsid w:val="0054757A"/>
    <w:rsid w:val="00550FC7"/>
    <w:rsid w:val="00551EBB"/>
    <w:rsid w:val="00551F1F"/>
    <w:rsid w:val="00554245"/>
    <w:rsid w:val="0055441F"/>
    <w:rsid w:val="0055700F"/>
    <w:rsid w:val="005578DC"/>
    <w:rsid w:val="00560FED"/>
    <w:rsid w:val="00566154"/>
    <w:rsid w:val="0056726A"/>
    <w:rsid w:val="005673F8"/>
    <w:rsid w:val="00571709"/>
    <w:rsid w:val="00571FCD"/>
    <w:rsid w:val="00573A5F"/>
    <w:rsid w:val="00573E69"/>
    <w:rsid w:val="00573E72"/>
    <w:rsid w:val="005740C0"/>
    <w:rsid w:val="00574FF6"/>
    <w:rsid w:val="00576FAD"/>
    <w:rsid w:val="00577512"/>
    <w:rsid w:val="00581E5D"/>
    <w:rsid w:val="00582064"/>
    <w:rsid w:val="0058280E"/>
    <w:rsid w:val="00583262"/>
    <w:rsid w:val="0058425B"/>
    <w:rsid w:val="00584E04"/>
    <w:rsid w:val="00585235"/>
    <w:rsid w:val="00585E9B"/>
    <w:rsid w:val="005865B9"/>
    <w:rsid w:val="0058772D"/>
    <w:rsid w:val="00587806"/>
    <w:rsid w:val="00590B37"/>
    <w:rsid w:val="005912B1"/>
    <w:rsid w:val="005918CA"/>
    <w:rsid w:val="005922BF"/>
    <w:rsid w:val="00592B07"/>
    <w:rsid w:val="00593B1A"/>
    <w:rsid w:val="005942E2"/>
    <w:rsid w:val="00596AE9"/>
    <w:rsid w:val="00596C77"/>
    <w:rsid w:val="005A0248"/>
    <w:rsid w:val="005A05F3"/>
    <w:rsid w:val="005A174A"/>
    <w:rsid w:val="005A2401"/>
    <w:rsid w:val="005A3A47"/>
    <w:rsid w:val="005A407E"/>
    <w:rsid w:val="005A4BB3"/>
    <w:rsid w:val="005A5614"/>
    <w:rsid w:val="005A5FDC"/>
    <w:rsid w:val="005A7C60"/>
    <w:rsid w:val="005B06B7"/>
    <w:rsid w:val="005B08ED"/>
    <w:rsid w:val="005B143D"/>
    <w:rsid w:val="005B315C"/>
    <w:rsid w:val="005B4100"/>
    <w:rsid w:val="005B441D"/>
    <w:rsid w:val="005B4E88"/>
    <w:rsid w:val="005B7308"/>
    <w:rsid w:val="005B79D0"/>
    <w:rsid w:val="005B7D96"/>
    <w:rsid w:val="005C2820"/>
    <w:rsid w:val="005C2A3B"/>
    <w:rsid w:val="005C37B2"/>
    <w:rsid w:val="005C516A"/>
    <w:rsid w:val="005C5373"/>
    <w:rsid w:val="005C74D4"/>
    <w:rsid w:val="005C7799"/>
    <w:rsid w:val="005D00FB"/>
    <w:rsid w:val="005D2E6F"/>
    <w:rsid w:val="005D3601"/>
    <w:rsid w:val="005D523B"/>
    <w:rsid w:val="005D5319"/>
    <w:rsid w:val="005D562F"/>
    <w:rsid w:val="005D7773"/>
    <w:rsid w:val="005E3DE0"/>
    <w:rsid w:val="005E405C"/>
    <w:rsid w:val="005E4732"/>
    <w:rsid w:val="005E4D4E"/>
    <w:rsid w:val="005E4F6A"/>
    <w:rsid w:val="005F0007"/>
    <w:rsid w:val="005F010D"/>
    <w:rsid w:val="005F2187"/>
    <w:rsid w:val="005F2587"/>
    <w:rsid w:val="005F4BFC"/>
    <w:rsid w:val="005F5AFF"/>
    <w:rsid w:val="005F6D54"/>
    <w:rsid w:val="006035E1"/>
    <w:rsid w:val="006039B3"/>
    <w:rsid w:val="0060626F"/>
    <w:rsid w:val="00607397"/>
    <w:rsid w:val="00611F8C"/>
    <w:rsid w:val="00612F1F"/>
    <w:rsid w:val="00616C9B"/>
    <w:rsid w:val="006212E9"/>
    <w:rsid w:val="0062185D"/>
    <w:rsid w:val="00624040"/>
    <w:rsid w:val="006266B5"/>
    <w:rsid w:val="006267B7"/>
    <w:rsid w:val="00626A66"/>
    <w:rsid w:val="00626DDB"/>
    <w:rsid w:val="00627340"/>
    <w:rsid w:val="006279FC"/>
    <w:rsid w:val="00630058"/>
    <w:rsid w:val="00634A0E"/>
    <w:rsid w:val="00636211"/>
    <w:rsid w:val="00636254"/>
    <w:rsid w:val="00636FD2"/>
    <w:rsid w:val="006377E5"/>
    <w:rsid w:val="0064071D"/>
    <w:rsid w:val="006410B1"/>
    <w:rsid w:val="00641FDA"/>
    <w:rsid w:val="006426F2"/>
    <w:rsid w:val="00643070"/>
    <w:rsid w:val="006431F6"/>
    <w:rsid w:val="00643C1C"/>
    <w:rsid w:val="006445F3"/>
    <w:rsid w:val="0064560B"/>
    <w:rsid w:val="0064633C"/>
    <w:rsid w:val="00646AE9"/>
    <w:rsid w:val="006470E4"/>
    <w:rsid w:val="006473E2"/>
    <w:rsid w:val="006500BA"/>
    <w:rsid w:val="006500C7"/>
    <w:rsid w:val="00650754"/>
    <w:rsid w:val="00650BCB"/>
    <w:rsid w:val="00650F9D"/>
    <w:rsid w:val="00651169"/>
    <w:rsid w:val="00652B5D"/>
    <w:rsid w:val="00653514"/>
    <w:rsid w:val="0065639F"/>
    <w:rsid w:val="00662FF6"/>
    <w:rsid w:val="00663A3E"/>
    <w:rsid w:val="00663FF9"/>
    <w:rsid w:val="006650D8"/>
    <w:rsid w:val="006653B2"/>
    <w:rsid w:val="00665C5B"/>
    <w:rsid w:val="00666FD8"/>
    <w:rsid w:val="00667A32"/>
    <w:rsid w:val="00667B0F"/>
    <w:rsid w:val="00672583"/>
    <w:rsid w:val="00674EB0"/>
    <w:rsid w:val="006751FB"/>
    <w:rsid w:val="00676EA6"/>
    <w:rsid w:val="00676ECE"/>
    <w:rsid w:val="00680339"/>
    <w:rsid w:val="00680C8E"/>
    <w:rsid w:val="00680E35"/>
    <w:rsid w:val="00683758"/>
    <w:rsid w:val="00685509"/>
    <w:rsid w:val="00686A5F"/>
    <w:rsid w:val="006878DC"/>
    <w:rsid w:val="00691902"/>
    <w:rsid w:val="00691EEE"/>
    <w:rsid w:val="006946A5"/>
    <w:rsid w:val="00694FB1"/>
    <w:rsid w:val="00697494"/>
    <w:rsid w:val="0069775C"/>
    <w:rsid w:val="006A2092"/>
    <w:rsid w:val="006A25BE"/>
    <w:rsid w:val="006A2DC1"/>
    <w:rsid w:val="006A2E9A"/>
    <w:rsid w:val="006A3452"/>
    <w:rsid w:val="006A3C2B"/>
    <w:rsid w:val="006A5D35"/>
    <w:rsid w:val="006A6B93"/>
    <w:rsid w:val="006B047F"/>
    <w:rsid w:val="006B0E04"/>
    <w:rsid w:val="006B2027"/>
    <w:rsid w:val="006B26B5"/>
    <w:rsid w:val="006B3573"/>
    <w:rsid w:val="006B476C"/>
    <w:rsid w:val="006B6375"/>
    <w:rsid w:val="006B6B01"/>
    <w:rsid w:val="006B770F"/>
    <w:rsid w:val="006B7D69"/>
    <w:rsid w:val="006C084D"/>
    <w:rsid w:val="006C10EF"/>
    <w:rsid w:val="006C314C"/>
    <w:rsid w:val="006C3984"/>
    <w:rsid w:val="006C4AF4"/>
    <w:rsid w:val="006C4EBA"/>
    <w:rsid w:val="006C6F6D"/>
    <w:rsid w:val="006D12E9"/>
    <w:rsid w:val="006D16BB"/>
    <w:rsid w:val="006D1CCA"/>
    <w:rsid w:val="006D364F"/>
    <w:rsid w:val="006D5431"/>
    <w:rsid w:val="006D7729"/>
    <w:rsid w:val="006D7DA5"/>
    <w:rsid w:val="006E1647"/>
    <w:rsid w:val="006E1A93"/>
    <w:rsid w:val="006E1ACE"/>
    <w:rsid w:val="006E5725"/>
    <w:rsid w:val="006E5D0E"/>
    <w:rsid w:val="006E7396"/>
    <w:rsid w:val="006E7E0B"/>
    <w:rsid w:val="006F28D6"/>
    <w:rsid w:val="006F36D5"/>
    <w:rsid w:val="006F7DD7"/>
    <w:rsid w:val="00700664"/>
    <w:rsid w:val="007007CE"/>
    <w:rsid w:val="00702CAD"/>
    <w:rsid w:val="007032D1"/>
    <w:rsid w:val="00703C89"/>
    <w:rsid w:val="007040C5"/>
    <w:rsid w:val="00704283"/>
    <w:rsid w:val="007051A9"/>
    <w:rsid w:val="0070545A"/>
    <w:rsid w:val="00707A86"/>
    <w:rsid w:val="00707CA0"/>
    <w:rsid w:val="007102BD"/>
    <w:rsid w:val="007111DC"/>
    <w:rsid w:val="00711621"/>
    <w:rsid w:val="00711B29"/>
    <w:rsid w:val="00714A17"/>
    <w:rsid w:val="00716457"/>
    <w:rsid w:val="00717D07"/>
    <w:rsid w:val="00720243"/>
    <w:rsid w:val="00721CDF"/>
    <w:rsid w:val="0072234B"/>
    <w:rsid w:val="00722B7F"/>
    <w:rsid w:val="00722D02"/>
    <w:rsid w:val="007247E2"/>
    <w:rsid w:val="00724AC4"/>
    <w:rsid w:val="00724C83"/>
    <w:rsid w:val="00727009"/>
    <w:rsid w:val="00727200"/>
    <w:rsid w:val="00727D66"/>
    <w:rsid w:val="007313E5"/>
    <w:rsid w:val="00734C62"/>
    <w:rsid w:val="00735025"/>
    <w:rsid w:val="0073645C"/>
    <w:rsid w:val="00737C03"/>
    <w:rsid w:val="0074014D"/>
    <w:rsid w:val="00743234"/>
    <w:rsid w:val="00743756"/>
    <w:rsid w:val="00745A1A"/>
    <w:rsid w:val="0074676D"/>
    <w:rsid w:val="007477AF"/>
    <w:rsid w:val="007477C3"/>
    <w:rsid w:val="00750919"/>
    <w:rsid w:val="00751015"/>
    <w:rsid w:val="00751C01"/>
    <w:rsid w:val="00751FD2"/>
    <w:rsid w:val="007520B2"/>
    <w:rsid w:val="007531C9"/>
    <w:rsid w:val="00753C04"/>
    <w:rsid w:val="00754ECD"/>
    <w:rsid w:val="0075527B"/>
    <w:rsid w:val="007559FA"/>
    <w:rsid w:val="00755D3F"/>
    <w:rsid w:val="00755E97"/>
    <w:rsid w:val="00756F90"/>
    <w:rsid w:val="0075797C"/>
    <w:rsid w:val="007606C6"/>
    <w:rsid w:val="00760D1E"/>
    <w:rsid w:val="00761265"/>
    <w:rsid w:val="00761B43"/>
    <w:rsid w:val="00762AB0"/>
    <w:rsid w:val="00764D31"/>
    <w:rsid w:val="00764FF3"/>
    <w:rsid w:val="00767E57"/>
    <w:rsid w:val="007701C5"/>
    <w:rsid w:val="0077026B"/>
    <w:rsid w:val="00770964"/>
    <w:rsid w:val="00771175"/>
    <w:rsid w:val="007712E8"/>
    <w:rsid w:val="00771CF0"/>
    <w:rsid w:val="00777205"/>
    <w:rsid w:val="007777A4"/>
    <w:rsid w:val="00777C67"/>
    <w:rsid w:val="00783B34"/>
    <w:rsid w:val="0079152D"/>
    <w:rsid w:val="00792023"/>
    <w:rsid w:val="00792CD5"/>
    <w:rsid w:val="007931BE"/>
    <w:rsid w:val="007977A5"/>
    <w:rsid w:val="00797A32"/>
    <w:rsid w:val="007A0BD7"/>
    <w:rsid w:val="007A213F"/>
    <w:rsid w:val="007A434A"/>
    <w:rsid w:val="007A4793"/>
    <w:rsid w:val="007A4A03"/>
    <w:rsid w:val="007A5137"/>
    <w:rsid w:val="007A565B"/>
    <w:rsid w:val="007A6D8B"/>
    <w:rsid w:val="007B0C9B"/>
    <w:rsid w:val="007B124C"/>
    <w:rsid w:val="007B512D"/>
    <w:rsid w:val="007B5AF2"/>
    <w:rsid w:val="007B5D31"/>
    <w:rsid w:val="007B6FDF"/>
    <w:rsid w:val="007C1EEA"/>
    <w:rsid w:val="007C2BE4"/>
    <w:rsid w:val="007C375C"/>
    <w:rsid w:val="007C382B"/>
    <w:rsid w:val="007C38B7"/>
    <w:rsid w:val="007C4571"/>
    <w:rsid w:val="007C5AE6"/>
    <w:rsid w:val="007C5E82"/>
    <w:rsid w:val="007D01FF"/>
    <w:rsid w:val="007D1213"/>
    <w:rsid w:val="007D13E3"/>
    <w:rsid w:val="007D16E8"/>
    <w:rsid w:val="007D2C6F"/>
    <w:rsid w:val="007D4035"/>
    <w:rsid w:val="007D4C57"/>
    <w:rsid w:val="007D5B7C"/>
    <w:rsid w:val="007E00C5"/>
    <w:rsid w:val="007E1850"/>
    <w:rsid w:val="007E44F9"/>
    <w:rsid w:val="007F4570"/>
    <w:rsid w:val="007F4F08"/>
    <w:rsid w:val="0080020B"/>
    <w:rsid w:val="008016BA"/>
    <w:rsid w:val="00802913"/>
    <w:rsid w:val="00802D42"/>
    <w:rsid w:val="00803868"/>
    <w:rsid w:val="00804A4C"/>
    <w:rsid w:val="008051D3"/>
    <w:rsid w:val="0081225F"/>
    <w:rsid w:val="00812634"/>
    <w:rsid w:val="008137CD"/>
    <w:rsid w:val="00813A58"/>
    <w:rsid w:val="0081519D"/>
    <w:rsid w:val="00815720"/>
    <w:rsid w:val="00816CA0"/>
    <w:rsid w:val="00817068"/>
    <w:rsid w:val="008205A8"/>
    <w:rsid w:val="00822ED0"/>
    <w:rsid w:val="0082462B"/>
    <w:rsid w:val="00824A47"/>
    <w:rsid w:val="00824E76"/>
    <w:rsid w:val="008279F8"/>
    <w:rsid w:val="00831558"/>
    <w:rsid w:val="00834B76"/>
    <w:rsid w:val="00836964"/>
    <w:rsid w:val="00841AC2"/>
    <w:rsid w:val="008432D5"/>
    <w:rsid w:val="00844794"/>
    <w:rsid w:val="00845CB2"/>
    <w:rsid w:val="0084663C"/>
    <w:rsid w:val="008472E4"/>
    <w:rsid w:val="00850348"/>
    <w:rsid w:val="00854776"/>
    <w:rsid w:val="008561B4"/>
    <w:rsid w:val="008563E9"/>
    <w:rsid w:val="00861211"/>
    <w:rsid w:val="00864630"/>
    <w:rsid w:val="00865F6E"/>
    <w:rsid w:val="00866685"/>
    <w:rsid w:val="0086749B"/>
    <w:rsid w:val="008718E3"/>
    <w:rsid w:val="00872F97"/>
    <w:rsid w:val="0087458C"/>
    <w:rsid w:val="008749A3"/>
    <w:rsid w:val="00881263"/>
    <w:rsid w:val="0088285F"/>
    <w:rsid w:val="00883DE2"/>
    <w:rsid w:val="00884448"/>
    <w:rsid w:val="008857AD"/>
    <w:rsid w:val="00886980"/>
    <w:rsid w:val="00890450"/>
    <w:rsid w:val="0089131E"/>
    <w:rsid w:val="008918D5"/>
    <w:rsid w:val="008932E0"/>
    <w:rsid w:val="00893A81"/>
    <w:rsid w:val="00893CE8"/>
    <w:rsid w:val="008944CB"/>
    <w:rsid w:val="008946AC"/>
    <w:rsid w:val="00896CAB"/>
    <w:rsid w:val="00897465"/>
    <w:rsid w:val="00897D1E"/>
    <w:rsid w:val="00897D34"/>
    <w:rsid w:val="008A0825"/>
    <w:rsid w:val="008A1993"/>
    <w:rsid w:val="008A23FF"/>
    <w:rsid w:val="008A3823"/>
    <w:rsid w:val="008A3905"/>
    <w:rsid w:val="008A5182"/>
    <w:rsid w:val="008A7E72"/>
    <w:rsid w:val="008B0A36"/>
    <w:rsid w:val="008B1592"/>
    <w:rsid w:val="008B15C3"/>
    <w:rsid w:val="008B19BB"/>
    <w:rsid w:val="008B2223"/>
    <w:rsid w:val="008B2966"/>
    <w:rsid w:val="008C29B3"/>
    <w:rsid w:val="008C3C1F"/>
    <w:rsid w:val="008C4BAF"/>
    <w:rsid w:val="008C4CC6"/>
    <w:rsid w:val="008C5A86"/>
    <w:rsid w:val="008C75FC"/>
    <w:rsid w:val="008D181B"/>
    <w:rsid w:val="008D24E0"/>
    <w:rsid w:val="008D253F"/>
    <w:rsid w:val="008D2E2D"/>
    <w:rsid w:val="008D40F9"/>
    <w:rsid w:val="008D445F"/>
    <w:rsid w:val="008D65D7"/>
    <w:rsid w:val="008D6C67"/>
    <w:rsid w:val="008D7F4A"/>
    <w:rsid w:val="008E09AB"/>
    <w:rsid w:val="008E4ABF"/>
    <w:rsid w:val="008E5C74"/>
    <w:rsid w:val="008E6152"/>
    <w:rsid w:val="008E663A"/>
    <w:rsid w:val="008F4F00"/>
    <w:rsid w:val="00901259"/>
    <w:rsid w:val="009018E9"/>
    <w:rsid w:val="00901D11"/>
    <w:rsid w:val="0090321E"/>
    <w:rsid w:val="00904915"/>
    <w:rsid w:val="0090577F"/>
    <w:rsid w:val="00907A6B"/>
    <w:rsid w:val="00907DF9"/>
    <w:rsid w:val="009106A9"/>
    <w:rsid w:val="00910F2A"/>
    <w:rsid w:val="00916151"/>
    <w:rsid w:val="00916499"/>
    <w:rsid w:val="009234CA"/>
    <w:rsid w:val="0092493D"/>
    <w:rsid w:val="009249C0"/>
    <w:rsid w:val="00926007"/>
    <w:rsid w:val="0092748E"/>
    <w:rsid w:val="009275C5"/>
    <w:rsid w:val="00930A9C"/>
    <w:rsid w:val="00934654"/>
    <w:rsid w:val="00934B9C"/>
    <w:rsid w:val="00937DEC"/>
    <w:rsid w:val="00940BD6"/>
    <w:rsid w:val="0094163C"/>
    <w:rsid w:val="009430D8"/>
    <w:rsid w:val="00943E55"/>
    <w:rsid w:val="009456D2"/>
    <w:rsid w:val="0094580F"/>
    <w:rsid w:val="00950922"/>
    <w:rsid w:val="00950E3E"/>
    <w:rsid w:val="009514B1"/>
    <w:rsid w:val="009519E8"/>
    <w:rsid w:val="00951CCB"/>
    <w:rsid w:val="0095245E"/>
    <w:rsid w:val="0095275A"/>
    <w:rsid w:val="00953622"/>
    <w:rsid w:val="009553C3"/>
    <w:rsid w:val="00956A1F"/>
    <w:rsid w:val="00956EF9"/>
    <w:rsid w:val="00962C17"/>
    <w:rsid w:val="00963197"/>
    <w:rsid w:val="00963FA0"/>
    <w:rsid w:val="009640D0"/>
    <w:rsid w:val="00967071"/>
    <w:rsid w:val="00967769"/>
    <w:rsid w:val="009705C4"/>
    <w:rsid w:val="00970E44"/>
    <w:rsid w:val="009710E1"/>
    <w:rsid w:val="0097248A"/>
    <w:rsid w:val="00972750"/>
    <w:rsid w:val="00972BC0"/>
    <w:rsid w:val="00976F4C"/>
    <w:rsid w:val="00977CB8"/>
    <w:rsid w:val="009829CE"/>
    <w:rsid w:val="00984598"/>
    <w:rsid w:val="009857AD"/>
    <w:rsid w:val="00985CB0"/>
    <w:rsid w:val="00987D38"/>
    <w:rsid w:val="00992D3F"/>
    <w:rsid w:val="0099576D"/>
    <w:rsid w:val="009973CC"/>
    <w:rsid w:val="0099784C"/>
    <w:rsid w:val="009A697A"/>
    <w:rsid w:val="009A6D5F"/>
    <w:rsid w:val="009A797E"/>
    <w:rsid w:val="009B0155"/>
    <w:rsid w:val="009B16DF"/>
    <w:rsid w:val="009B22D3"/>
    <w:rsid w:val="009B4A90"/>
    <w:rsid w:val="009B4B5C"/>
    <w:rsid w:val="009B57E9"/>
    <w:rsid w:val="009B6D56"/>
    <w:rsid w:val="009C0307"/>
    <w:rsid w:val="009C04ED"/>
    <w:rsid w:val="009C3133"/>
    <w:rsid w:val="009C3FFF"/>
    <w:rsid w:val="009D1DD7"/>
    <w:rsid w:val="009D2A2A"/>
    <w:rsid w:val="009D3649"/>
    <w:rsid w:val="009D4B8F"/>
    <w:rsid w:val="009D57B5"/>
    <w:rsid w:val="009D62F3"/>
    <w:rsid w:val="009D6884"/>
    <w:rsid w:val="009D6B99"/>
    <w:rsid w:val="009D728B"/>
    <w:rsid w:val="009E2A83"/>
    <w:rsid w:val="009E4854"/>
    <w:rsid w:val="009E5C15"/>
    <w:rsid w:val="009E609B"/>
    <w:rsid w:val="009E66DA"/>
    <w:rsid w:val="009E744C"/>
    <w:rsid w:val="009E7B13"/>
    <w:rsid w:val="009F1283"/>
    <w:rsid w:val="009F2A99"/>
    <w:rsid w:val="009F33EE"/>
    <w:rsid w:val="009F3FB0"/>
    <w:rsid w:val="009F413E"/>
    <w:rsid w:val="009F4A81"/>
    <w:rsid w:val="009F6826"/>
    <w:rsid w:val="009F7D8A"/>
    <w:rsid w:val="00A01655"/>
    <w:rsid w:val="00A0181C"/>
    <w:rsid w:val="00A06120"/>
    <w:rsid w:val="00A1045E"/>
    <w:rsid w:val="00A14B3D"/>
    <w:rsid w:val="00A20317"/>
    <w:rsid w:val="00A216A6"/>
    <w:rsid w:val="00A23901"/>
    <w:rsid w:val="00A239E4"/>
    <w:rsid w:val="00A24970"/>
    <w:rsid w:val="00A259D7"/>
    <w:rsid w:val="00A2710A"/>
    <w:rsid w:val="00A27EEB"/>
    <w:rsid w:val="00A3151F"/>
    <w:rsid w:val="00A31E75"/>
    <w:rsid w:val="00A32BF3"/>
    <w:rsid w:val="00A334B8"/>
    <w:rsid w:val="00A3700C"/>
    <w:rsid w:val="00A40C76"/>
    <w:rsid w:val="00A420F9"/>
    <w:rsid w:val="00A42608"/>
    <w:rsid w:val="00A42693"/>
    <w:rsid w:val="00A43BA3"/>
    <w:rsid w:val="00A44A60"/>
    <w:rsid w:val="00A501E0"/>
    <w:rsid w:val="00A520DE"/>
    <w:rsid w:val="00A5351C"/>
    <w:rsid w:val="00A5474B"/>
    <w:rsid w:val="00A559B1"/>
    <w:rsid w:val="00A55B55"/>
    <w:rsid w:val="00A56549"/>
    <w:rsid w:val="00A57225"/>
    <w:rsid w:val="00A578D3"/>
    <w:rsid w:val="00A63FC8"/>
    <w:rsid w:val="00A6785E"/>
    <w:rsid w:val="00A73968"/>
    <w:rsid w:val="00A77A2E"/>
    <w:rsid w:val="00A82338"/>
    <w:rsid w:val="00A82BE3"/>
    <w:rsid w:val="00A844A3"/>
    <w:rsid w:val="00A84B0A"/>
    <w:rsid w:val="00A85434"/>
    <w:rsid w:val="00A85FED"/>
    <w:rsid w:val="00A87BC2"/>
    <w:rsid w:val="00A87C07"/>
    <w:rsid w:val="00A908EE"/>
    <w:rsid w:val="00A91F44"/>
    <w:rsid w:val="00A926D0"/>
    <w:rsid w:val="00A92EBF"/>
    <w:rsid w:val="00A94840"/>
    <w:rsid w:val="00A95895"/>
    <w:rsid w:val="00A95FE2"/>
    <w:rsid w:val="00A96C10"/>
    <w:rsid w:val="00A970A4"/>
    <w:rsid w:val="00AA05D4"/>
    <w:rsid w:val="00AA47CE"/>
    <w:rsid w:val="00AA49FD"/>
    <w:rsid w:val="00AA4AA9"/>
    <w:rsid w:val="00AA5927"/>
    <w:rsid w:val="00AA6C77"/>
    <w:rsid w:val="00AA76B8"/>
    <w:rsid w:val="00AB059B"/>
    <w:rsid w:val="00AB0DCF"/>
    <w:rsid w:val="00AB1888"/>
    <w:rsid w:val="00AB2BB3"/>
    <w:rsid w:val="00AB32AA"/>
    <w:rsid w:val="00AB444C"/>
    <w:rsid w:val="00AB480C"/>
    <w:rsid w:val="00AB5F18"/>
    <w:rsid w:val="00AC210E"/>
    <w:rsid w:val="00AC33A3"/>
    <w:rsid w:val="00AC35A2"/>
    <w:rsid w:val="00AC42E5"/>
    <w:rsid w:val="00AC4A93"/>
    <w:rsid w:val="00AC50B8"/>
    <w:rsid w:val="00AC63B8"/>
    <w:rsid w:val="00AC64D3"/>
    <w:rsid w:val="00AC786B"/>
    <w:rsid w:val="00AD1D3F"/>
    <w:rsid w:val="00AD2038"/>
    <w:rsid w:val="00AD25DC"/>
    <w:rsid w:val="00AD7366"/>
    <w:rsid w:val="00AE0E52"/>
    <w:rsid w:val="00AE257F"/>
    <w:rsid w:val="00AE4272"/>
    <w:rsid w:val="00AE5171"/>
    <w:rsid w:val="00AE7BA4"/>
    <w:rsid w:val="00AF008F"/>
    <w:rsid w:val="00AF1869"/>
    <w:rsid w:val="00AF2994"/>
    <w:rsid w:val="00AF39C9"/>
    <w:rsid w:val="00AF4931"/>
    <w:rsid w:val="00AF4C31"/>
    <w:rsid w:val="00AF5994"/>
    <w:rsid w:val="00AF6A33"/>
    <w:rsid w:val="00AF7846"/>
    <w:rsid w:val="00AF7D8F"/>
    <w:rsid w:val="00B0083B"/>
    <w:rsid w:val="00B03DD4"/>
    <w:rsid w:val="00B04AA7"/>
    <w:rsid w:val="00B05220"/>
    <w:rsid w:val="00B06241"/>
    <w:rsid w:val="00B0763F"/>
    <w:rsid w:val="00B10548"/>
    <w:rsid w:val="00B1459E"/>
    <w:rsid w:val="00B15005"/>
    <w:rsid w:val="00B15CFE"/>
    <w:rsid w:val="00B1605F"/>
    <w:rsid w:val="00B166C6"/>
    <w:rsid w:val="00B20A43"/>
    <w:rsid w:val="00B21DB9"/>
    <w:rsid w:val="00B224D0"/>
    <w:rsid w:val="00B240AF"/>
    <w:rsid w:val="00B251A6"/>
    <w:rsid w:val="00B25EB2"/>
    <w:rsid w:val="00B267E4"/>
    <w:rsid w:val="00B26F4B"/>
    <w:rsid w:val="00B275F2"/>
    <w:rsid w:val="00B27861"/>
    <w:rsid w:val="00B303FB"/>
    <w:rsid w:val="00B30892"/>
    <w:rsid w:val="00B31787"/>
    <w:rsid w:val="00B327C3"/>
    <w:rsid w:val="00B32E74"/>
    <w:rsid w:val="00B34BDB"/>
    <w:rsid w:val="00B3522D"/>
    <w:rsid w:val="00B3702C"/>
    <w:rsid w:val="00B41439"/>
    <w:rsid w:val="00B43966"/>
    <w:rsid w:val="00B441C0"/>
    <w:rsid w:val="00B46599"/>
    <w:rsid w:val="00B47A1E"/>
    <w:rsid w:val="00B52AB6"/>
    <w:rsid w:val="00B549A0"/>
    <w:rsid w:val="00B5549B"/>
    <w:rsid w:val="00B6130D"/>
    <w:rsid w:val="00B63822"/>
    <w:rsid w:val="00B6451B"/>
    <w:rsid w:val="00B65461"/>
    <w:rsid w:val="00B65F86"/>
    <w:rsid w:val="00B67E8F"/>
    <w:rsid w:val="00B70CDC"/>
    <w:rsid w:val="00B71CBE"/>
    <w:rsid w:val="00B736B5"/>
    <w:rsid w:val="00B7374B"/>
    <w:rsid w:val="00B7599C"/>
    <w:rsid w:val="00B773BC"/>
    <w:rsid w:val="00B80150"/>
    <w:rsid w:val="00B81DD5"/>
    <w:rsid w:val="00B83223"/>
    <w:rsid w:val="00B83E0F"/>
    <w:rsid w:val="00B8559E"/>
    <w:rsid w:val="00B87679"/>
    <w:rsid w:val="00B87BBC"/>
    <w:rsid w:val="00B906D6"/>
    <w:rsid w:val="00B90983"/>
    <w:rsid w:val="00B910BC"/>
    <w:rsid w:val="00B93BD2"/>
    <w:rsid w:val="00B97688"/>
    <w:rsid w:val="00BA0DEF"/>
    <w:rsid w:val="00BA1DC8"/>
    <w:rsid w:val="00BA493B"/>
    <w:rsid w:val="00BA49C2"/>
    <w:rsid w:val="00BA4B0B"/>
    <w:rsid w:val="00BA4C7A"/>
    <w:rsid w:val="00BA4D8D"/>
    <w:rsid w:val="00BA616B"/>
    <w:rsid w:val="00BA7188"/>
    <w:rsid w:val="00BA74AB"/>
    <w:rsid w:val="00BB1822"/>
    <w:rsid w:val="00BB28A4"/>
    <w:rsid w:val="00BB2C9F"/>
    <w:rsid w:val="00BB2D6D"/>
    <w:rsid w:val="00BB4085"/>
    <w:rsid w:val="00BB4629"/>
    <w:rsid w:val="00BB4BF7"/>
    <w:rsid w:val="00BB64FD"/>
    <w:rsid w:val="00BB7E60"/>
    <w:rsid w:val="00BB7E9D"/>
    <w:rsid w:val="00BC0161"/>
    <w:rsid w:val="00BC01F4"/>
    <w:rsid w:val="00BC1A74"/>
    <w:rsid w:val="00BC38EC"/>
    <w:rsid w:val="00BC4FD6"/>
    <w:rsid w:val="00BC563E"/>
    <w:rsid w:val="00BD10B5"/>
    <w:rsid w:val="00BD3738"/>
    <w:rsid w:val="00BD3A03"/>
    <w:rsid w:val="00BD3EDC"/>
    <w:rsid w:val="00BD48CE"/>
    <w:rsid w:val="00BD5EED"/>
    <w:rsid w:val="00BD6F33"/>
    <w:rsid w:val="00BE0531"/>
    <w:rsid w:val="00BE0609"/>
    <w:rsid w:val="00BE3EC3"/>
    <w:rsid w:val="00BF1057"/>
    <w:rsid w:val="00BF154E"/>
    <w:rsid w:val="00BF1B9A"/>
    <w:rsid w:val="00BF1E08"/>
    <w:rsid w:val="00BF3281"/>
    <w:rsid w:val="00BF543F"/>
    <w:rsid w:val="00BF76B6"/>
    <w:rsid w:val="00C005DB"/>
    <w:rsid w:val="00C04293"/>
    <w:rsid w:val="00C049A0"/>
    <w:rsid w:val="00C053D0"/>
    <w:rsid w:val="00C061F6"/>
    <w:rsid w:val="00C10138"/>
    <w:rsid w:val="00C11591"/>
    <w:rsid w:val="00C122F0"/>
    <w:rsid w:val="00C12873"/>
    <w:rsid w:val="00C13E28"/>
    <w:rsid w:val="00C15534"/>
    <w:rsid w:val="00C168CB"/>
    <w:rsid w:val="00C20854"/>
    <w:rsid w:val="00C21130"/>
    <w:rsid w:val="00C2289D"/>
    <w:rsid w:val="00C24216"/>
    <w:rsid w:val="00C24C62"/>
    <w:rsid w:val="00C2622E"/>
    <w:rsid w:val="00C265AD"/>
    <w:rsid w:val="00C27413"/>
    <w:rsid w:val="00C27834"/>
    <w:rsid w:val="00C3004F"/>
    <w:rsid w:val="00C3138D"/>
    <w:rsid w:val="00C33254"/>
    <w:rsid w:val="00C339AD"/>
    <w:rsid w:val="00C343CD"/>
    <w:rsid w:val="00C35215"/>
    <w:rsid w:val="00C35BE3"/>
    <w:rsid w:val="00C364D3"/>
    <w:rsid w:val="00C40CE1"/>
    <w:rsid w:val="00C41C69"/>
    <w:rsid w:val="00C426BB"/>
    <w:rsid w:val="00C43E27"/>
    <w:rsid w:val="00C46374"/>
    <w:rsid w:val="00C47A03"/>
    <w:rsid w:val="00C50FDE"/>
    <w:rsid w:val="00C52346"/>
    <w:rsid w:val="00C53AD1"/>
    <w:rsid w:val="00C60A1D"/>
    <w:rsid w:val="00C66981"/>
    <w:rsid w:val="00C669F6"/>
    <w:rsid w:val="00C71ADC"/>
    <w:rsid w:val="00C7224A"/>
    <w:rsid w:val="00C72365"/>
    <w:rsid w:val="00C72D37"/>
    <w:rsid w:val="00C73E9E"/>
    <w:rsid w:val="00C7562D"/>
    <w:rsid w:val="00C75772"/>
    <w:rsid w:val="00C763A3"/>
    <w:rsid w:val="00C8226E"/>
    <w:rsid w:val="00C83790"/>
    <w:rsid w:val="00C83A33"/>
    <w:rsid w:val="00C906CF"/>
    <w:rsid w:val="00C927D3"/>
    <w:rsid w:val="00C92A76"/>
    <w:rsid w:val="00C94106"/>
    <w:rsid w:val="00C9478A"/>
    <w:rsid w:val="00C949A6"/>
    <w:rsid w:val="00C96781"/>
    <w:rsid w:val="00C97123"/>
    <w:rsid w:val="00CA3BAE"/>
    <w:rsid w:val="00CA4591"/>
    <w:rsid w:val="00CA4C00"/>
    <w:rsid w:val="00CA563E"/>
    <w:rsid w:val="00CA694B"/>
    <w:rsid w:val="00CA69CE"/>
    <w:rsid w:val="00CA6C2F"/>
    <w:rsid w:val="00CA7B9D"/>
    <w:rsid w:val="00CB07DC"/>
    <w:rsid w:val="00CB4F9F"/>
    <w:rsid w:val="00CB70CE"/>
    <w:rsid w:val="00CB7B24"/>
    <w:rsid w:val="00CB7EDA"/>
    <w:rsid w:val="00CC29E7"/>
    <w:rsid w:val="00CC2E3C"/>
    <w:rsid w:val="00CC4B08"/>
    <w:rsid w:val="00CC5804"/>
    <w:rsid w:val="00CC69BE"/>
    <w:rsid w:val="00CC6C25"/>
    <w:rsid w:val="00CC6F03"/>
    <w:rsid w:val="00CD162D"/>
    <w:rsid w:val="00CD219C"/>
    <w:rsid w:val="00CD2370"/>
    <w:rsid w:val="00CD311C"/>
    <w:rsid w:val="00CD31DC"/>
    <w:rsid w:val="00CD32E3"/>
    <w:rsid w:val="00CD4033"/>
    <w:rsid w:val="00CD42F2"/>
    <w:rsid w:val="00CD4CC5"/>
    <w:rsid w:val="00CD4E3C"/>
    <w:rsid w:val="00CD7C4F"/>
    <w:rsid w:val="00CE350F"/>
    <w:rsid w:val="00CE4345"/>
    <w:rsid w:val="00CE4999"/>
    <w:rsid w:val="00CF1D9D"/>
    <w:rsid w:val="00CF4E83"/>
    <w:rsid w:val="00CF5938"/>
    <w:rsid w:val="00CF6E0D"/>
    <w:rsid w:val="00CF7399"/>
    <w:rsid w:val="00CF7D91"/>
    <w:rsid w:val="00D000E3"/>
    <w:rsid w:val="00D01DF9"/>
    <w:rsid w:val="00D03483"/>
    <w:rsid w:val="00D03D14"/>
    <w:rsid w:val="00D0469E"/>
    <w:rsid w:val="00D04F6F"/>
    <w:rsid w:val="00D050C9"/>
    <w:rsid w:val="00D07298"/>
    <w:rsid w:val="00D07969"/>
    <w:rsid w:val="00D07CDC"/>
    <w:rsid w:val="00D11A50"/>
    <w:rsid w:val="00D1241A"/>
    <w:rsid w:val="00D12E1A"/>
    <w:rsid w:val="00D14432"/>
    <w:rsid w:val="00D14941"/>
    <w:rsid w:val="00D15425"/>
    <w:rsid w:val="00D17795"/>
    <w:rsid w:val="00D17E54"/>
    <w:rsid w:val="00D20F80"/>
    <w:rsid w:val="00D2418A"/>
    <w:rsid w:val="00D241D3"/>
    <w:rsid w:val="00D24E43"/>
    <w:rsid w:val="00D252A1"/>
    <w:rsid w:val="00D273F2"/>
    <w:rsid w:val="00D274BB"/>
    <w:rsid w:val="00D3381B"/>
    <w:rsid w:val="00D3394B"/>
    <w:rsid w:val="00D341F5"/>
    <w:rsid w:val="00D3486B"/>
    <w:rsid w:val="00D34DA7"/>
    <w:rsid w:val="00D40E5B"/>
    <w:rsid w:val="00D42DA4"/>
    <w:rsid w:val="00D4366F"/>
    <w:rsid w:val="00D4521B"/>
    <w:rsid w:val="00D45C69"/>
    <w:rsid w:val="00D4724E"/>
    <w:rsid w:val="00D475BC"/>
    <w:rsid w:val="00D502AA"/>
    <w:rsid w:val="00D532F6"/>
    <w:rsid w:val="00D5395D"/>
    <w:rsid w:val="00D53E92"/>
    <w:rsid w:val="00D564BE"/>
    <w:rsid w:val="00D57833"/>
    <w:rsid w:val="00D61916"/>
    <w:rsid w:val="00D62D02"/>
    <w:rsid w:val="00D63ADE"/>
    <w:rsid w:val="00D66C3D"/>
    <w:rsid w:val="00D66E20"/>
    <w:rsid w:val="00D70F82"/>
    <w:rsid w:val="00D74563"/>
    <w:rsid w:val="00D76584"/>
    <w:rsid w:val="00D8152F"/>
    <w:rsid w:val="00D82846"/>
    <w:rsid w:val="00D8317C"/>
    <w:rsid w:val="00D83AAA"/>
    <w:rsid w:val="00D84313"/>
    <w:rsid w:val="00D8445D"/>
    <w:rsid w:val="00D85F7A"/>
    <w:rsid w:val="00D864C9"/>
    <w:rsid w:val="00D90252"/>
    <w:rsid w:val="00D90A07"/>
    <w:rsid w:val="00D90CB2"/>
    <w:rsid w:val="00D916DE"/>
    <w:rsid w:val="00D9673B"/>
    <w:rsid w:val="00D97B4F"/>
    <w:rsid w:val="00DA148E"/>
    <w:rsid w:val="00DA1FB1"/>
    <w:rsid w:val="00DA4472"/>
    <w:rsid w:val="00DA4898"/>
    <w:rsid w:val="00DA4B2C"/>
    <w:rsid w:val="00DA7F9B"/>
    <w:rsid w:val="00DB28D8"/>
    <w:rsid w:val="00DB7FE2"/>
    <w:rsid w:val="00DC12D1"/>
    <w:rsid w:val="00DC336D"/>
    <w:rsid w:val="00DC49BC"/>
    <w:rsid w:val="00DC6818"/>
    <w:rsid w:val="00DD0C2B"/>
    <w:rsid w:val="00DD2CD0"/>
    <w:rsid w:val="00DD32FD"/>
    <w:rsid w:val="00DD59DE"/>
    <w:rsid w:val="00DD6F12"/>
    <w:rsid w:val="00DD7304"/>
    <w:rsid w:val="00DE1E67"/>
    <w:rsid w:val="00DE207A"/>
    <w:rsid w:val="00DE6157"/>
    <w:rsid w:val="00DE70E4"/>
    <w:rsid w:val="00DF1AA4"/>
    <w:rsid w:val="00DF1B75"/>
    <w:rsid w:val="00DF293A"/>
    <w:rsid w:val="00DF2A91"/>
    <w:rsid w:val="00DF3939"/>
    <w:rsid w:val="00DF68E8"/>
    <w:rsid w:val="00E05E8B"/>
    <w:rsid w:val="00E0610C"/>
    <w:rsid w:val="00E07FA0"/>
    <w:rsid w:val="00E10EBB"/>
    <w:rsid w:val="00E114AE"/>
    <w:rsid w:val="00E12427"/>
    <w:rsid w:val="00E14BDE"/>
    <w:rsid w:val="00E15901"/>
    <w:rsid w:val="00E15BC4"/>
    <w:rsid w:val="00E15EF7"/>
    <w:rsid w:val="00E2094D"/>
    <w:rsid w:val="00E20DEA"/>
    <w:rsid w:val="00E21F07"/>
    <w:rsid w:val="00E23971"/>
    <w:rsid w:val="00E23B71"/>
    <w:rsid w:val="00E25946"/>
    <w:rsid w:val="00E25BFD"/>
    <w:rsid w:val="00E25E29"/>
    <w:rsid w:val="00E26FA5"/>
    <w:rsid w:val="00E27112"/>
    <w:rsid w:val="00E27398"/>
    <w:rsid w:val="00E3063F"/>
    <w:rsid w:val="00E30D64"/>
    <w:rsid w:val="00E345B7"/>
    <w:rsid w:val="00E34662"/>
    <w:rsid w:val="00E34B01"/>
    <w:rsid w:val="00E36572"/>
    <w:rsid w:val="00E36D4F"/>
    <w:rsid w:val="00E40436"/>
    <w:rsid w:val="00E4093D"/>
    <w:rsid w:val="00E430CE"/>
    <w:rsid w:val="00E4332C"/>
    <w:rsid w:val="00E45A69"/>
    <w:rsid w:val="00E5040A"/>
    <w:rsid w:val="00E50C32"/>
    <w:rsid w:val="00E52501"/>
    <w:rsid w:val="00E528F6"/>
    <w:rsid w:val="00E53FDF"/>
    <w:rsid w:val="00E55601"/>
    <w:rsid w:val="00E560EC"/>
    <w:rsid w:val="00E56DD1"/>
    <w:rsid w:val="00E61F39"/>
    <w:rsid w:val="00E623EA"/>
    <w:rsid w:val="00E628C9"/>
    <w:rsid w:val="00E62B3F"/>
    <w:rsid w:val="00E62D70"/>
    <w:rsid w:val="00E63381"/>
    <w:rsid w:val="00E65293"/>
    <w:rsid w:val="00E67206"/>
    <w:rsid w:val="00E71B3E"/>
    <w:rsid w:val="00E72406"/>
    <w:rsid w:val="00E73A15"/>
    <w:rsid w:val="00E75B9C"/>
    <w:rsid w:val="00E80664"/>
    <w:rsid w:val="00E8132C"/>
    <w:rsid w:val="00E827E5"/>
    <w:rsid w:val="00E82F74"/>
    <w:rsid w:val="00E83A9C"/>
    <w:rsid w:val="00E845F7"/>
    <w:rsid w:val="00E84CB6"/>
    <w:rsid w:val="00E863D1"/>
    <w:rsid w:val="00E8770F"/>
    <w:rsid w:val="00E90038"/>
    <w:rsid w:val="00E92C7A"/>
    <w:rsid w:val="00E93BE7"/>
    <w:rsid w:val="00E95F64"/>
    <w:rsid w:val="00E96D81"/>
    <w:rsid w:val="00EA08C1"/>
    <w:rsid w:val="00EA0FD2"/>
    <w:rsid w:val="00EA1569"/>
    <w:rsid w:val="00EA2683"/>
    <w:rsid w:val="00EA4031"/>
    <w:rsid w:val="00EA4652"/>
    <w:rsid w:val="00EB1A7A"/>
    <w:rsid w:val="00EB1B27"/>
    <w:rsid w:val="00EB2B22"/>
    <w:rsid w:val="00EB3873"/>
    <w:rsid w:val="00EB4EDB"/>
    <w:rsid w:val="00EB5FDD"/>
    <w:rsid w:val="00EC0B39"/>
    <w:rsid w:val="00EC21C3"/>
    <w:rsid w:val="00EC2D67"/>
    <w:rsid w:val="00EC3194"/>
    <w:rsid w:val="00EC399F"/>
    <w:rsid w:val="00EC4848"/>
    <w:rsid w:val="00EC67E4"/>
    <w:rsid w:val="00EC6E65"/>
    <w:rsid w:val="00EC7D28"/>
    <w:rsid w:val="00ED5BD5"/>
    <w:rsid w:val="00ED6EE2"/>
    <w:rsid w:val="00ED7605"/>
    <w:rsid w:val="00EE12B9"/>
    <w:rsid w:val="00EE2D07"/>
    <w:rsid w:val="00EE33F4"/>
    <w:rsid w:val="00EE54B3"/>
    <w:rsid w:val="00EE5DA1"/>
    <w:rsid w:val="00EE72C4"/>
    <w:rsid w:val="00EE7DC1"/>
    <w:rsid w:val="00EE7F69"/>
    <w:rsid w:val="00EF46A8"/>
    <w:rsid w:val="00F01C6D"/>
    <w:rsid w:val="00F02072"/>
    <w:rsid w:val="00F037A1"/>
    <w:rsid w:val="00F0412F"/>
    <w:rsid w:val="00F0421E"/>
    <w:rsid w:val="00F04EE8"/>
    <w:rsid w:val="00F050A7"/>
    <w:rsid w:val="00F05E12"/>
    <w:rsid w:val="00F06022"/>
    <w:rsid w:val="00F070AA"/>
    <w:rsid w:val="00F10BC5"/>
    <w:rsid w:val="00F10DA5"/>
    <w:rsid w:val="00F11451"/>
    <w:rsid w:val="00F15A40"/>
    <w:rsid w:val="00F16A00"/>
    <w:rsid w:val="00F178DE"/>
    <w:rsid w:val="00F2450A"/>
    <w:rsid w:val="00F2461F"/>
    <w:rsid w:val="00F253A6"/>
    <w:rsid w:val="00F265F7"/>
    <w:rsid w:val="00F278CC"/>
    <w:rsid w:val="00F303E2"/>
    <w:rsid w:val="00F343BB"/>
    <w:rsid w:val="00F3458A"/>
    <w:rsid w:val="00F3484D"/>
    <w:rsid w:val="00F35FC2"/>
    <w:rsid w:val="00F360E6"/>
    <w:rsid w:val="00F36BF8"/>
    <w:rsid w:val="00F37827"/>
    <w:rsid w:val="00F41CF8"/>
    <w:rsid w:val="00F41E29"/>
    <w:rsid w:val="00F448E3"/>
    <w:rsid w:val="00F44B81"/>
    <w:rsid w:val="00F45C1C"/>
    <w:rsid w:val="00F4647D"/>
    <w:rsid w:val="00F50B15"/>
    <w:rsid w:val="00F51A2D"/>
    <w:rsid w:val="00F53C53"/>
    <w:rsid w:val="00F54FA9"/>
    <w:rsid w:val="00F56AEF"/>
    <w:rsid w:val="00F601FF"/>
    <w:rsid w:val="00F60CDC"/>
    <w:rsid w:val="00F623F4"/>
    <w:rsid w:val="00F62575"/>
    <w:rsid w:val="00F62AFC"/>
    <w:rsid w:val="00F62D78"/>
    <w:rsid w:val="00F65616"/>
    <w:rsid w:val="00F658CF"/>
    <w:rsid w:val="00F67F68"/>
    <w:rsid w:val="00F70A19"/>
    <w:rsid w:val="00F72973"/>
    <w:rsid w:val="00F7390E"/>
    <w:rsid w:val="00F7495F"/>
    <w:rsid w:val="00F74EAB"/>
    <w:rsid w:val="00F75CA7"/>
    <w:rsid w:val="00F76100"/>
    <w:rsid w:val="00F77F1E"/>
    <w:rsid w:val="00F80A85"/>
    <w:rsid w:val="00F82145"/>
    <w:rsid w:val="00F840E9"/>
    <w:rsid w:val="00F86896"/>
    <w:rsid w:val="00F90E2E"/>
    <w:rsid w:val="00F92277"/>
    <w:rsid w:val="00F92D47"/>
    <w:rsid w:val="00F95B12"/>
    <w:rsid w:val="00FA094C"/>
    <w:rsid w:val="00FA0DFD"/>
    <w:rsid w:val="00FA15ED"/>
    <w:rsid w:val="00FA2ED8"/>
    <w:rsid w:val="00FA377F"/>
    <w:rsid w:val="00FA39A7"/>
    <w:rsid w:val="00FA3F37"/>
    <w:rsid w:val="00FA4F68"/>
    <w:rsid w:val="00FA5020"/>
    <w:rsid w:val="00FA62EB"/>
    <w:rsid w:val="00FA7618"/>
    <w:rsid w:val="00FB1815"/>
    <w:rsid w:val="00FB2019"/>
    <w:rsid w:val="00FB2391"/>
    <w:rsid w:val="00FB2D50"/>
    <w:rsid w:val="00FB4170"/>
    <w:rsid w:val="00FB41B1"/>
    <w:rsid w:val="00FB4F70"/>
    <w:rsid w:val="00FB5FE5"/>
    <w:rsid w:val="00FC08EB"/>
    <w:rsid w:val="00FC149F"/>
    <w:rsid w:val="00FC20F7"/>
    <w:rsid w:val="00FC2532"/>
    <w:rsid w:val="00FC6887"/>
    <w:rsid w:val="00FC715D"/>
    <w:rsid w:val="00FD0AE4"/>
    <w:rsid w:val="00FD1E11"/>
    <w:rsid w:val="00FD25E4"/>
    <w:rsid w:val="00FD40D6"/>
    <w:rsid w:val="00FD6912"/>
    <w:rsid w:val="00FE0365"/>
    <w:rsid w:val="00FE114F"/>
    <w:rsid w:val="00FE3437"/>
    <w:rsid w:val="00FF0E6C"/>
    <w:rsid w:val="00FF3E62"/>
    <w:rsid w:val="00FF53D4"/>
    <w:rsid w:val="00FF7B19"/>
    <w:rsid w:val="019C274D"/>
    <w:rsid w:val="070683FD"/>
    <w:rsid w:val="11D5E818"/>
    <w:rsid w:val="1222522D"/>
    <w:rsid w:val="1259E791"/>
    <w:rsid w:val="12D71A50"/>
    <w:rsid w:val="1462698C"/>
    <w:rsid w:val="1730B1A1"/>
    <w:rsid w:val="27298FAC"/>
    <w:rsid w:val="304C40C8"/>
    <w:rsid w:val="378F8E85"/>
    <w:rsid w:val="3F2DA78B"/>
    <w:rsid w:val="4534121E"/>
    <w:rsid w:val="4A926121"/>
    <w:rsid w:val="52D5AC4A"/>
    <w:rsid w:val="5DBBF338"/>
    <w:rsid w:val="607F5919"/>
    <w:rsid w:val="642644FD"/>
    <w:rsid w:val="675B96A2"/>
    <w:rsid w:val="675DCC68"/>
    <w:rsid w:val="6B40A2D8"/>
    <w:rsid w:val="740E591D"/>
    <w:rsid w:val="7807705E"/>
    <w:rsid w:val="7F310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6C3B"/>
  <w14:defaultImageDpi w14:val="32767"/>
  <w15:chartTrackingRefBased/>
  <w15:docId w15:val="{5C0A031B-71C1-46ED-A6F1-F063EAEF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508B"/>
    <w:rPr>
      <w:rFonts w:eastAsiaTheme="minorEastAsia"/>
    </w:rPr>
  </w:style>
  <w:style w:type="paragraph" w:styleId="Heading1">
    <w:name w:val="heading 1"/>
    <w:basedOn w:val="Normal"/>
    <w:next w:val="Normal"/>
    <w:link w:val="Heading1Char"/>
    <w:uiPriority w:val="9"/>
    <w:qFormat/>
    <w:rsid w:val="003A4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8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8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8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8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839"/>
    <w:rPr>
      <w:rFonts w:eastAsiaTheme="majorEastAsia" w:cstheme="majorBidi"/>
      <w:color w:val="272727" w:themeColor="text1" w:themeTint="D8"/>
    </w:rPr>
  </w:style>
  <w:style w:type="paragraph" w:styleId="Title">
    <w:name w:val="Title"/>
    <w:basedOn w:val="Normal"/>
    <w:next w:val="Normal"/>
    <w:link w:val="TitleChar"/>
    <w:uiPriority w:val="10"/>
    <w:qFormat/>
    <w:rsid w:val="003A48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8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8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4839"/>
    <w:rPr>
      <w:i/>
      <w:iCs/>
      <w:color w:val="404040" w:themeColor="text1" w:themeTint="BF"/>
    </w:rPr>
  </w:style>
  <w:style w:type="paragraph" w:styleId="ListParagraph">
    <w:name w:val="List Paragraph"/>
    <w:basedOn w:val="Normal"/>
    <w:uiPriority w:val="34"/>
    <w:qFormat/>
    <w:rsid w:val="003A4839"/>
    <w:pPr>
      <w:ind w:left="720"/>
      <w:contextualSpacing/>
    </w:pPr>
  </w:style>
  <w:style w:type="character" w:styleId="IntenseEmphasis">
    <w:name w:val="Intense Emphasis"/>
    <w:basedOn w:val="DefaultParagraphFont"/>
    <w:uiPriority w:val="21"/>
    <w:qFormat/>
    <w:rsid w:val="003A4839"/>
    <w:rPr>
      <w:i/>
      <w:iCs/>
      <w:color w:val="0F4761" w:themeColor="accent1" w:themeShade="BF"/>
    </w:rPr>
  </w:style>
  <w:style w:type="paragraph" w:styleId="IntenseQuote">
    <w:name w:val="Intense Quote"/>
    <w:basedOn w:val="Normal"/>
    <w:next w:val="Normal"/>
    <w:link w:val="IntenseQuoteChar"/>
    <w:uiPriority w:val="30"/>
    <w:qFormat/>
    <w:rsid w:val="003A4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839"/>
    <w:rPr>
      <w:i/>
      <w:iCs/>
      <w:color w:val="0F4761" w:themeColor="accent1" w:themeShade="BF"/>
    </w:rPr>
  </w:style>
  <w:style w:type="character" w:styleId="IntenseReference">
    <w:name w:val="Intense Reference"/>
    <w:basedOn w:val="DefaultParagraphFont"/>
    <w:uiPriority w:val="32"/>
    <w:qFormat/>
    <w:rsid w:val="003A4839"/>
    <w:rPr>
      <w:b/>
      <w:bCs/>
      <w:smallCaps/>
      <w:color w:val="0F4761" w:themeColor="accent1" w:themeShade="BF"/>
      <w:spacing w:val="5"/>
    </w:rPr>
  </w:style>
  <w:style w:type="paragraph" w:styleId="Header">
    <w:name w:val="header"/>
    <w:basedOn w:val="Normal"/>
    <w:link w:val="HeaderChar"/>
    <w:uiPriority w:val="99"/>
    <w:unhideWhenUsed/>
    <w:rsid w:val="003A4839"/>
    <w:pPr>
      <w:tabs>
        <w:tab w:val="center" w:pos="4680"/>
        <w:tab w:val="right" w:pos="9360"/>
      </w:tabs>
    </w:pPr>
  </w:style>
  <w:style w:type="character" w:customStyle="1" w:styleId="HeaderChar">
    <w:name w:val="Header Char"/>
    <w:basedOn w:val="DefaultParagraphFont"/>
    <w:link w:val="Header"/>
    <w:uiPriority w:val="99"/>
    <w:rsid w:val="003A4839"/>
    <w:rPr>
      <w:rFonts w:eastAsiaTheme="minorEastAsia"/>
    </w:rPr>
  </w:style>
  <w:style w:type="paragraph" w:styleId="Footer">
    <w:name w:val="footer"/>
    <w:basedOn w:val="Normal"/>
    <w:link w:val="FooterChar"/>
    <w:uiPriority w:val="99"/>
    <w:unhideWhenUsed/>
    <w:rsid w:val="003A4839"/>
    <w:pPr>
      <w:tabs>
        <w:tab w:val="center" w:pos="4680"/>
        <w:tab w:val="right" w:pos="9360"/>
      </w:tabs>
    </w:pPr>
  </w:style>
  <w:style w:type="character" w:customStyle="1" w:styleId="FooterChar">
    <w:name w:val="Footer Char"/>
    <w:basedOn w:val="DefaultParagraphFont"/>
    <w:link w:val="Footer"/>
    <w:uiPriority w:val="99"/>
    <w:rsid w:val="003A4839"/>
    <w:rPr>
      <w:rFonts w:eastAsiaTheme="minorEastAsia"/>
    </w:rPr>
  </w:style>
  <w:style w:type="paragraph" w:customStyle="1" w:styleId="QIDANHeading">
    <w:name w:val="QIDAN Heading"/>
    <w:basedOn w:val="Normal"/>
    <w:qFormat/>
    <w:rsid w:val="00F11451"/>
    <w:pPr>
      <w:spacing w:line="360" w:lineRule="auto"/>
    </w:pPr>
    <w:rPr>
      <w:rFonts w:ascii="Poppins SemiBold" w:hAnsi="Poppins SemiBold"/>
      <w:b/>
      <w:bCs/>
      <w:color w:val="690048"/>
      <w:sz w:val="48"/>
      <w:szCs w:val="48"/>
      <w:lang w:val="en-AU"/>
    </w:rPr>
  </w:style>
  <w:style w:type="paragraph" w:customStyle="1" w:styleId="QIDANSubheading">
    <w:name w:val="QIDAN Subheading"/>
    <w:basedOn w:val="Normal"/>
    <w:qFormat/>
    <w:rsid w:val="00F11451"/>
    <w:pPr>
      <w:spacing w:line="360" w:lineRule="auto"/>
    </w:pPr>
    <w:rPr>
      <w:rFonts w:ascii="Nunito Sans" w:hAnsi="Nunito Sans"/>
      <w:b/>
      <w:bCs/>
      <w:color w:val="690048"/>
      <w:sz w:val="28"/>
      <w:lang w:val="en-AU"/>
    </w:rPr>
  </w:style>
  <w:style w:type="paragraph" w:customStyle="1" w:styleId="QIDANParagraph">
    <w:name w:val="QIDAN Paragraph"/>
    <w:basedOn w:val="Normal"/>
    <w:qFormat/>
    <w:rsid w:val="00F11451"/>
    <w:pPr>
      <w:spacing w:line="360" w:lineRule="auto"/>
    </w:pPr>
    <w:rPr>
      <w:rFonts w:ascii="Nunito Sans" w:hAnsi="Nunito Sans"/>
      <w:szCs w:val="20"/>
      <w:lang w:val="en-AU"/>
    </w:rPr>
  </w:style>
  <w:style w:type="character" w:styleId="PageNumber">
    <w:name w:val="page number"/>
    <w:basedOn w:val="DefaultParagraphFont"/>
    <w:uiPriority w:val="99"/>
    <w:semiHidden/>
    <w:unhideWhenUsed/>
    <w:rsid w:val="002C77FC"/>
  </w:style>
  <w:style w:type="character" w:styleId="Hyperlink">
    <w:name w:val="Hyperlink"/>
    <w:basedOn w:val="DefaultParagraphFont"/>
    <w:uiPriority w:val="99"/>
    <w:unhideWhenUsed/>
    <w:rsid w:val="000B7CD4"/>
    <w:rPr>
      <w:color w:val="467886"/>
      <w:u w:val="single"/>
    </w:rPr>
  </w:style>
  <w:style w:type="paragraph" w:styleId="TOCHeading">
    <w:name w:val="TOC Heading"/>
    <w:basedOn w:val="Heading1"/>
    <w:next w:val="Normal"/>
    <w:uiPriority w:val="39"/>
    <w:unhideWhenUsed/>
    <w:qFormat/>
    <w:rsid w:val="000B7CD4"/>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0B7CD4"/>
    <w:pPr>
      <w:tabs>
        <w:tab w:val="right" w:leader="dot" w:pos="9737"/>
      </w:tabs>
      <w:spacing w:after="100" w:line="360" w:lineRule="auto"/>
    </w:pPr>
    <w:rPr>
      <w:rFonts w:ascii="Nunito Sans" w:hAnsi="Nunito Sans"/>
      <w:bCs/>
      <w:noProof/>
      <w:lang w:val="en-AU"/>
    </w:rPr>
  </w:style>
  <w:style w:type="character" w:styleId="CommentReference">
    <w:name w:val="annotation reference"/>
    <w:basedOn w:val="DefaultParagraphFont"/>
    <w:uiPriority w:val="99"/>
    <w:semiHidden/>
    <w:unhideWhenUsed/>
    <w:rsid w:val="000D56EA"/>
    <w:rPr>
      <w:sz w:val="16"/>
      <w:szCs w:val="16"/>
    </w:rPr>
  </w:style>
  <w:style w:type="paragraph" w:styleId="CommentText">
    <w:name w:val="annotation text"/>
    <w:basedOn w:val="Normal"/>
    <w:link w:val="CommentTextChar"/>
    <w:uiPriority w:val="99"/>
    <w:unhideWhenUsed/>
    <w:rsid w:val="000D56EA"/>
    <w:rPr>
      <w:sz w:val="20"/>
      <w:szCs w:val="20"/>
    </w:rPr>
  </w:style>
  <w:style w:type="character" w:customStyle="1" w:styleId="CommentTextChar">
    <w:name w:val="Comment Text Char"/>
    <w:basedOn w:val="DefaultParagraphFont"/>
    <w:link w:val="CommentText"/>
    <w:uiPriority w:val="99"/>
    <w:rsid w:val="000D56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56EA"/>
    <w:rPr>
      <w:b/>
      <w:bCs/>
    </w:rPr>
  </w:style>
  <w:style w:type="character" w:customStyle="1" w:styleId="CommentSubjectChar">
    <w:name w:val="Comment Subject Char"/>
    <w:basedOn w:val="CommentTextChar"/>
    <w:link w:val="CommentSubject"/>
    <w:uiPriority w:val="99"/>
    <w:semiHidden/>
    <w:rsid w:val="000D56EA"/>
    <w:rPr>
      <w:rFonts w:eastAsiaTheme="minorEastAsia"/>
      <w:b/>
      <w:bCs/>
      <w:sz w:val="20"/>
      <w:szCs w:val="20"/>
    </w:rPr>
  </w:style>
  <w:style w:type="paragraph" w:styleId="FootnoteText">
    <w:name w:val="footnote text"/>
    <w:basedOn w:val="Normal"/>
    <w:link w:val="FootnoteTextChar"/>
    <w:uiPriority w:val="99"/>
    <w:unhideWhenUsed/>
    <w:rsid w:val="00DC336D"/>
    <w:rPr>
      <w:sz w:val="20"/>
      <w:szCs w:val="20"/>
    </w:rPr>
  </w:style>
  <w:style w:type="character" w:customStyle="1" w:styleId="FootnoteTextChar">
    <w:name w:val="Footnote Text Char"/>
    <w:basedOn w:val="DefaultParagraphFont"/>
    <w:link w:val="FootnoteText"/>
    <w:uiPriority w:val="99"/>
    <w:rsid w:val="00DC336D"/>
    <w:rPr>
      <w:rFonts w:eastAsiaTheme="minorEastAsia"/>
      <w:sz w:val="20"/>
      <w:szCs w:val="20"/>
    </w:rPr>
  </w:style>
  <w:style w:type="character" w:styleId="FootnoteReference">
    <w:name w:val="footnote reference"/>
    <w:basedOn w:val="DefaultParagraphFont"/>
    <w:uiPriority w:val="99"/>
    <w:semiHidden/>
    <w:unhideWhenUsed/>
    <w:rsid w:val="00DC336D"/>
    <w:rPr>
      <w:vertAlign w:val="superscript"/>
    </w:rPr>
  </w:style>
  <w:style w:type="character" w:styleId="UnresolvedMention">
    <w:name w:val="Unresolved Mention"/>
    <w:basedOn w:val="DefaultParagraphFont"/>
    <w:uiPriority w:val="99"/>
    <w:rsid w:val="00BF154E"/>
    <w:rPr>
      <w:color w:val="605E5C"/>
      <w:shd w:val="clear" w:color="auto" w:fill="E1DFDD"/>
    </w:rPr>
  </w:style>
  <w:style w:type="character" w:styleId="Mention">
    <w:name w:val="Mention"/>
    <w:basedOn w:val="DefaultParagraphFont"/>
    <w:uiPriority w:val="99"/>
    <w:unhideWhenUsed/>
    <w:rsid w:val="00150827"/>
    <w:rPr>
      <w:color w:val="2B579A"/>
      <w:shd w:val="clear" w:color="auto" w:fill="E1DFDD"/>
    </w:rPr>
  </w:style>
  <w:style w:type="paragraph" w:styleId="Revision">
    <w:name w:val="Revision"/>
    <w:hidden/>
    <w:uiPriority w:val="99"/>
    <w:semiHidden/>
    <w:rsid w:val="00A216A6"/>
    <w:rPr>
      <w:rFonts w:eastAsiaTheme="minorEastAsia"/>
    </w:rPr>
  </w:style>
  <w:style w:type="paragraph" w:styleId="EndnoteText">
    <w:name w:val="endnote text"/>
    <w:basedOn w:val="Normal"/>
    <w:link w:val="EndnoteTextChar"/>
    <w:uiPriority w:val="99"/>
    <w:semiHidden/>
    <w:unhideWhenUsed/>
    <w:rsid w:val="003F10E9"/>
    <w:rPr>
      <w:rFonts w:eastAsiaTheme="minorHAnsi"/>
      <w:sz w:val="20"/>
      <w:szCs w:val="20"/>
      <w:lang w:val="en-AU"/>
    </w:rPr>
  </w:style>
  <w:style w:type="character" w:customStyle="1" w:styleId="EndnoteTextChar">
    <w:name w:val="Endnote Text Char"/>
    <w:basedOn w:val="DefaultParagraphFont"/>
    <w:link w:val="EndnoteText"/>
    <w:uiPriority w:val="99"/>
    <w:semiHidden/>
    <w:rsid w:val="003F10E9"/>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qai.org.au/wp-content/uploads/2023/09/NDIS-Review-to-the-NDIS-Review-Panel-September-2023.pdf" TargetMode="External"/><Relationship Id="rId3" Type="http://schemas.openxmlformats.org/officeDocument/2006/relationships/hyperlink" Target="https://qidan.org.au/submissions/qidan-submission-general-foundational-supports/" TargetMode="External"/><Relationship Id="rId7" Type="http://schemas.openxmlformats.org/officeDocument/2006/relationships/hyperlink" Target="https://qai.org.au/wp-content/uploads/2023/12/QAIs-submission-for-the-OPA-Supported-Decision-Making-publication-.pdf" TargetMode="External"/><Relationship Id="rId2" Type="http://schemas.openxmlformats.org/officeDocument/2006/relationships/hyperlink" Target="https://www.health.gov.au/committees-and-groups/ndis-provider-and-worker-registration-taskforce?language=en" TargetMode="External"/><Relationship Id="rId1" Type="http://schemas.openxmlformats.org/officeDocument/2006/relationships/hyperlink" Target="https://disabilitypathways.org.au/wp-content/uploads/2025/03/20250306-QIDAN-submission-Mandatory-registration-of-SIL-providers-and-SC.pdf" TargetMode="External"/><Relationship Id="rId6" Type="http://schemas.openxmlformats.org/officeDocument/2006/relationships/hyperlink" Target="https://qai.org.au/wp-content/uploads/2023/06/Supported-Decision-Making-Guide-ADA-and-QAI.pdf" TargetMode="External"/><Relationship Id="rId5" Type="http://schemas.openxmlformats.org/officeDocument/2006/relationships/hyperlink" Target="https://qai.org.au/wp-content/uploads/2024/03/Inquiry-into-Supported-Accommodation-Feb-2024.pdf" TargetMode="External"/><Relationship Id="rId10" Type="http://schemas.openxmlformats.org/officeDocument/2006/relationships/hyperlink" Target="https://www.health.gov.au/resources/publications/disability-royal-commission-progress-report-2025/volume-10-disability-services/recommendation-1010-provider-of-last-resort?language=en" TargetMode="External"/><Relationship Id="rId4" Type="http://schemas.openxmlformats.org/officeDocument/2006/relationships/hyperlink" Target="https://qidan.org.au/submissions/qidan-submission-targeted-foundational-supports/" TargetMode="External"/><Relationship Id="rId9" Type="http://schemas.openxmlformats.org/officeDocument/2006/relationships/hyperlink" Target="https://qai.org.au/wp-content/uploads/2023/09/NDIS-Review-to-the-NDIS-Review-Panel-September-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tlinDeCocqVanDelw\AppData\Local\Microsoft\Windows\INetCache\Content.Outlook\UATP3LJU\QIDAN%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f459a40-6e34-430e-9c35-374e313ec46c"/>
    <lcf76f155ced4ddcb4097134ff3c332f xmlns="e8580fbf-fecb-4fba-8dba-8b20d897af1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0917138DAA0A45AE1E2D3F2F9502BA" ma:contentTypeVersion="17" ma:contentTypeDescription="Create a new document." ma:contentTypeScope="" ma:versionID="0e8f3fd96d14b766a78b1d3fc9690a90">
  <xsd:schema xmlns:xsd="http://www.w3.org/2001/XMLSchema" xmlns:xs="http://www.w3.org/2001/XMLSchema" xmlns:p="http://schemas.microsoft.com/office/2006/metadata/properties" xmlns:ns2="e8580fbf-fecb-4fba-8dba-8b20d897af13" xmlns:ns3="5f459a40-6e34-430e-9c35-374e313ec46c" targetNamespace="http://schemas.microsoft.com/office/2006/metadata/properties" ma:root="true" ma:fieldsID="e04551685aa19e1c7d6d2aea4b765991" ns2:_="" ns3:_="">
    <xsd:import namespace="e8580fbf-fecb-4fba-8dba-8b20d897af13"/>
    <xsd:import namespace="5f459a40-6e34-430e-9c35-374e313ec4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0fbf-fecb-4fba-8dba-8b20d897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59a40-6e34-430e-9c35-374e313ec4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00d6bec-2097-4e28-9dee-d802665faa3c}" ma:internalName="TaxCatchAll" ma:showField="CatchAllData" ma:web="5f459a40-6e34-430e-9c35-374e313ec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0A2DE-A80A-4EF5-982C-64966748CE4E}">
  <ds:schemaRefs>
    <ds:schemaRef ds:uri="http://schemas.microsoft.com/sharepoint/v3/contenttype/forms"/>
  </ds:schemaRefs>
</ds:datastoreItem>
</file>

<file path=customXml/itemProps2.xml><?xml version="1.0" encoding="utf-8"?>
<ds:datastoreItem xmlns:ds="http://schemas.openxmlformats.org/officeDocument/2006/customXml" ds:itemID="{0D5C18D9-8F2C-47C3-85E0-E138EDE1889F}">
  <ds:schemaRefs>
    <ds:schemaRef ds:uri="http://schemas.openxmlformats.org/officeDocument/2006/bibliography"/>
  </ds:schemaRefs>
</ds:datastoreItem>
</file>

<file path=customXml/itemProps3.xml><?xml version="1.0" encoding="utf-8"?>
<ds:datastoreItem xmlns:ds="http://schemas.openxmlformats.org/officeDocument/2006/customXml" ds:itemID="{F4C81822-521D-4E44-889A-F3D302B0C237}">
  <ds:schemaRefs>
    <ds:schemaRef ds:uri="http://schemas.microsoft.com/office/infopath/2007/PartnerControls"/>
    <ds:schemaRef ds:uri="http://schemas.microsoft.com/office/2006/documentManagement/types"/>
    <ds:schemaRef ds:uri="e8580fbf-fecb-4fba-8dba-8b20d897af13"/>
    <ds:schemaRef ds:uri="http://schemas.microsoft.com/office/2006/metadata/properties"/>
    <ds:schemaRef ds:uri="http://purl.org/dc/terms/"/>
    <ds:schemaRef ds:uri="5f459a40-6e34-430e-9c35-374e313ec46c"/>
    <ds:schemaRef ds:uri="http://www.w3.org/XML/1998/namespace"/>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268C5A06-C7AD-4EA2-AE2F-C8732C55D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0fbf-fecb-4fba-8dba-8b20d897af13"/>
    <ds:schemaRef ds:uri="5f459a40-6e34-430e-9c35-374e313ec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QIDAN Report</Template>
  <TotalTime>2</TotalTime>
  <Pages>14</Pages>
  <Words>3575</Words>
  <Characters>20630</Characters>
  <Application>Microsoft Office Word</Application>
  <DocSecurity>0</DocSecurity>
  <Lines>404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24097</CharactersWithSpaces>
  <SharedDoc>false</SharedDoc>
  <HLinks>
    <vt:vector size="108" baseType="variant">
      <vt:variant>
        <vt:i4>1507388</vt:i4>
      </vt:variant>
      <vt:variant>
        <vt:i4>44</vt:i4>
      </vt:variant>
      <vt:variant>
        <vt:i4>0</vt:i4>
      </vt:variant>
      <vt:variant>
        <vt:i4>5</vt:i4>
      </vt:variant>
      <vt:variant>
        <vt:lpwstr/>
      </vt:variant>
      <vt:variant>
        <vt:lpwstr>_Toc216981091</vt:lpwstr>
      </vt:variant>
      <vt:variant>
        <vt:i4>1507388</vt:i4>
      </vt:variant>
      <vt:variant>
        <vt:i4>38</vt:i4>
      </vt:variant>
      <vt:variant>
        <vt:i4>0</vt:i4>
      </vt:variant>
      <vt:variant>
        <vt:i4>5</vt:i4>
      </vt:variant>
      <vt:variant>
        <vt:lpwstr/>
      </vt:variant>
      <vt:variant>
        <vt:lpwstr>_Toc216981090</vt:lpwstr>
      </vt:variant>
      <vt:variant>
        <vt:i4>1441852</vt:i4>
      </vt:variant>
      <vt:variant>
        <vt:i4>32</vt:i4>
      </vt:variant>
      <vt:variant>
        <vt:i4>0</vt:i4>
      </vt:variant>
      <vt:variant>
        <vt:i4>5</vt:i4>
      </vt:variant>
      <vt:variant>
        <vt:lpwstr/>
      </vt:variant>
      <vt:variant>
        <vt:lpwstr>_Toc216981089</vt:lpwstr>
      </vt:variant>
      <vt:variant>
        <vt:i4>1441852</vt:i4>
      </vt:variant>
      <vt:variant>
        <vt:i4>26</vt:i4>
      </vt:variant>
      <vt:variant>
        <vt:i4>0</vt:i4>
      </vt:variant>
      <vt:variant>
        <vt:i4>5</vt:i4>
      </vt:variant>
      <vt:variant>
        <vt:lpwstr/>
      </vt:variant>
      <vt:variant>
        <vt:lpwstr>_Toc216981088</vt:lpwstr>
      </vt:variant>
      <vt:variant>
        <vt:i4>1441852</vt:i4>
      </vt:variant>
      <vt:variant>
        <vt:i4>20</vt:i4>
      </vt:variant>
      <vt:variant>
        <vt:i4>0</vt:i4>
      </vt:variant>
      <vt:variant>
        <vt:i4>5</vt:i4>
      </vt:variant>
      <vt:variant>
        <vt:lpwstr/>
      </vt:variant>
      <vt:variant>
        <vt:lpwstr>_Toc216981087</vt:lpwstr>
      </vt:variant>
      <vt:variant>
        <vt:i4>1441852</vt:i4>
      </vt:variant>
      <vt:variant>
        <vt:i4>14</vt:i4>
      </vt:variant>
      <vt:variant>
        <vt:i4>0</vt:i4>
      </vt:variant>
      <vt:variant>
        <vt:i4>5</vt:i4>
      </vt:variant>
      <vt:variant>
        <vt:lpwstr/>
      </vt:variant>
      <vt:variant>
        <vt:lpwstr>_Toc216981086</vt:lpwstr>
      </vt:variant>
      <vt:variant>
        <vt:i4>1441852</vt:i4>
      </vt:variant>
      <vt:variant>
        <vt:i4>8</vt:i4>
      </vt:variant>
      <vt:variant>
        <vt:i4>0</vt:i4>
      </vt:variant>
      <vt:variant>
        <vt:i4>5</vt:i4>
      </vt:variant>
      <vt:variant>
        <vt:lpwstr/>
      </vt:variant>
      <vt:variant>
        <vt:lpwstr>_Toc216981085</vt:lpwstr>
      </vt:variant>
      <vt:variant>
        <vt:i4>1441852</vt:i4>
      </vt:variant>
      <vt:variant>
        <vt:i4>2</vt:i4>
      </vt:variant>
      <vt:variant>
        <vt:i4>0</vt:i4>
      </vt:variant>
      <vt:variant>
        <vt:i4>5</vt:i4>
      </vt:variant>
      <vt:variant>
        <vt:lpwstr/>
      </vt:variant>
      <vt:variant>
        <vt:lpwstr>_Toc216981084</vt:lpwstr>
      </vt:variant>
      <vt:variant>
        <vt:i4>3997745</vt:i4>
      </vt:variant>
      <vt:variant>
        <vt:i4>27</vt:i4>
      </vt:variant>
      <vt:variant>
        <vt:i4>0</vt:i4>
      </vt:variant>
      <vt:variant>
        <vt:i4>5</vt:i4>
      </vt:variant>
      <vt:variant>
        <vt:lpwstr>https://www.health.gov.au/resources/publications/disability-royal-commission-progress-report-2025/volume-10-disability-services/recommendation-1010-provider-of-last-resort?language=en</vt:lpwstr>
      </vt:variant>
      <vt:variant>
        <vt:lpwstr/>
      </vt:variant>
      <vt:variant>
        <vt:i4>327703</vt:i4>
      </vt:variant>
      <vt:variant>
        <vt:i4>24</vt:i4>
      </vt:variant>
      <vt:variant>
        <vt:i4>0</vt:i4>
      </vt:variant>
      <vt:variant>
        <vt:i4>5</vt:i4>
      </vt:variant>
      <vt:variant>
        <vt:lpwstr>https://qai.org.au/wp-content/uploads/2023/09/NDIS-Review-to-the-NDIS-Review-Panel-September-2023.pdf</vt:lpwstr>
      </vt:variant>
      <vt:variant>
        <vt:lpwstr/>
      </vt:variant>
      <vt:variant>
        <vt:i4>327703</vt:i4>
      </vt:variant>
      <vt:variant>
        <vt:i4>21</vt:i4>
      </vt:variant>
      <vt:variant>
        <vt:i4>0</vt:i4>
      </vt:variant>
      <vt:variant>
        <vt:i4>5</vt:i4>
      </vt:variant>
      <vt:variant>
        <vt:lpwstr>https://qai.org.au/wp-content/uploads/2023/09/NDIS-Review-to-the-NDIS-Review-Panel-September-2023.pdf</vt:lpwstr>
      </vt:variant>
      <vt:variant>
        <vt:lpwstr/>
      </vt:variant>
      <vt:variant>
        <vt:i4>1310788</vt:i4>
      </vt:variant>
      <vt:variant>
        <vt:i4>18</vt:i4>
      </vt:variant>
      <vt:variant>
        <vt:i4>0</vt:i4>
      </vt:variant>
      <vt:variant>
        <vt:i4>5</vt:i4>
      </vt:variant>
      <vt:variant>
        <vt:lpwstr>https://qai.org.au/wp-content/uploads/2023/12/QAIs-submission-for-the-OPA-Supported-Decision-Making-publication-.pdf</vt:lpwstr>
      </vt:variant>
      <vt:variant>
        <vt:lpwstr/>
      </vt:variant>
      <vt:variant>
        <vt:i4>5439555</vt:i4>
      </vt:variant>
      <vt:variant>
        <vt:i4>15</vt:i4>
      </vt:variant>
      <vt:variant>
        <vt:i4>0</vt:i4>
      </vt:variant>
      <vt:variant>
        <vt:i4>5</vt:i4>
      </vt:variant>
      <vt:variant>
        <vt:lpwstr>https://qai.org.au/wp-content/uploads/2023/06/Supported-Decision-Making-Guide-ADA-and-QAI.pdf</vt:lpwstr>
      </vt:variant>
      <vt:variant>
        <vt:lpwstr/>
      </vt:variant>
      <vt:variant>
        <vt:i4>2687085</vt:i4>
      </vt:variant>
      <vt:variant>
        <vt:i4>12</vt:i4>
      </vt:variant>
      <vt:variant>
        <vt:i4>0</vt:i4>
      </vt:variant>
      <vt:variant>
        <vt:i4>5</vt:i4>
      </vt:variant>
      <vt:variant>
        <vt:lpwstr>https://qai.org.au/wp-content/uploads/2024/03/Inquiry-into-Supported-Accommodation-Feb-2024.pdf</vt:lpwstr>
      </vt:variant>
      <vt:variant>
        <vt:lpwstr/>
      </vt:variant>
      <vt:variant>
        <vt:i4>589903</vt:i4>
      </vt:variant>
      <vt:variant>
        <vt:i4>9</vt:i4>
      </vt:variant>
      <vt:variant>
        <vt:i4>0</vt:i4>
      </vt:variant>
      <vt:variant>
        <vt:i4>5</vt:i4>
      </vt:variant>
      <vt:variant>
        <vt:lpwstr>https://qidan.org.au/submissions/qidan-submission-targeted-foundational-supports/</vt:lpwstr>
      </vt:variant>
      <vt:variant>
        <vt:lpwstr/>
      </vt:variant>
      <vt:variant>
        <vt:i4>4915268</vt:i4>
      </vt:variant>
      <vt:variant>
        <vt:i4>6</vt:i4>
      </vt:variant>
      <vt:variant>
        <vt:i4>0</vt:i4>
      </vt:variant>
      <vt:variant>
        <vt:i4>5</vt:i4>
      </vt:variant>
      <vt:variant>
        <vt:lpwstr>https://qidan.org.au/submissions/qidan-submission-general-foundational-supports/</vt:lpwstr>
      </vt:variant>
      <vt:variant>
        <vt:lpwstr/>
      </vt:variant>
      <vt:variant>
        <vt:i4>2359422</vt:i4>
      </vt:variant>
      <vt:variant>
        <vt:i4>3</vt:i4>
      </vt:variant>
      <vt:variant>
        <vt:i4>0</vt:i4>
      </vt:variant>
      <vt:variant>
        <vt:i4>5</vt:i4>
      </vt:variant>
      <vt:variant>
        <vt:lpwstr>https://www.health.gov.au/committees-and-groups/ndis-provider-and-worker-registration-taskforce?language=en</vt:lpwstr>
      </vt:variant>
      <vt:variant>
        <vt:lpwstr/>
      </vt:variant>
      <vt:variant>
        <vt:i4>5308421</vt:i4>
      </vt:variant>
      <vt:variant>
        <vt:i4>0</vt:i4>
      </vt:variant>
      <vt:variant>
        <vt:i4>0</vt:i4>
      </vt:variant>
      <vt:variant>
        <vt:i4>5</vt:i4>
      </vt:variant>
      <vt:variant>
        <vt:lpwstr>https://disabilitypathways.org.au/wp-content/uploads/2025/03/20250306-QIDAN-submission-Mandatory-registration-of-SIL-providers-and-SC.pdf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De Cocq Van Delwijnen</dc:creator>
  <cp:keywords/>
  <dc:description/>
  <cp:lastModifiedBy>Sara Martins</cp:lastModifiedBy>
  <cp:revision>2</cp:revision>
  <cp:lastPrinted>2025-12-19T02:50:00Z</cp:lastPrinted>
  <dcterms:created xsi:type="dcterms:W3CDTF">2025-12-19T05:32:00Z</dcterms:created>
  <dcterms:modified xsi:type="dcterms:W3CDTF">2025-12-19T05:32:00Z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0x010100F60917138DAA0A45AE1E2D3F2F9502BA</vt:lpwstr>
  </property>
  <property fmtid="{D5CDD505-2E9C-101B-9397-08002B2CF9AE}" pid="3" name="MediaServiceImageTags">
    <vt:lpwstr/>
  </property>
  <property fmtid="{D5CDD505-2E9C-101B-9397-08002B2CF9AE}" pid="4" name="_dlc_DocIdItemGuid">
    <vt:lpwstr>6f6916fa-a859-4ddd-a618-be2a8e5d0f06</vt:lpwstr>
  </property>
</Properties>
</file>