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9B0F47" w14:textId="18EEF321" w:rsidR="00D26DF9" w:rsidRPr="004F0C80" w:rsidRDefault="007A0AC9" w:rsidP="0075651E">
      <w:pPr>
        <w:pStyle w:val="QAIHeading2"/>
      </w:pPr>
      <w:r w:rsidRPr="004F0C80">
        <w:rPr>
          <w:noProof/>
        </w:rPr>
        <w:drawing>
          <wp:anchor distT="0" distB="0" distL="114300" distR="114300" simplePos="0" relativeHeight="251660288" behindDoc="1" locked="0" layoutInCell="1" allowOverlap="1" wp14:anchorId="72A6EA04" wp14:editId="5996C8B7">
            <wp:simplePos x="0" y="0"/>
            <wp:positionH relativeFrom="page">
              <wp:posOffset>0</wp:posOffset>
            </wp:positionH>
            <wp:positionV relativeFrom="paragraph">
              <wp:posOffset>-321994</wp:posOffset>
            </wp:positionV>
            <wp:extent cx="7553876" cy="8918917"/>
            <wp:effectExtent l="0" t="0" r="9525" b="0"/>
            <wp:wrapNone/>
            <wp:docPr id="166599569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995691" name="Picture 1">
                      <a:extLst>
                        <a:ext uri="{C183D7F6-B498-43B3-948B-1728B52AA6E4}">
                          <adec:decorative xmlns:adec="http://schemas.microsoft.com/office/drawing/2017/decorative" val="1"/>
                        </a:ext>
                      </a:extLst>
                    </pic:cNvPr>
                    <pic:cNvPicPr/>
                  </pic:nvPicPr>
                  <pic:blipFill rotWithShape="1">
                    <a:blip r:embed="rId12"/>
                    <a:srcRect t="-1" b="25682"/>
                    <a:stretch/>
                  </pic:blipFill>
                  <pic:spPr bwMode="auto">
                    <a:xfrm>
                      <a:off x="0" y="0"/>
                      <a:ext cx="7553876" cy="89189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7B93" w:rsidRPr="004F0C80">
        <w:tab/>
      </w:r>
    </w:p>
    <w:p w14:paraId="0DAF85BF" w14:textId="50CB6CDE" w:rsidR="00D26DF9" w:rsidRPr="004F0C80" w:rsidRDefault="00D26DF9" w:rsidP="0001445D"/>
    <w:p w14:paraId="401361F1" w14:textId="7A0DD09A" w:rsidR="00366627" w:rsidRPr="004F0C80" w:rsidRDefault="00676BE1" w:rsidP="0001445D">
      <w:pPr>
        <w:tabs>
          <w:tab w:val="left" w:pos="1750"/>
        </w:tabs>
      </w:pPr>
      <w:r w:rsidRPr="004F0C80">
        <w:tab/>
      </w:r>
    </w:p>
    <w:p w14:paraId="6D226D5E" w14:textId="77777777" w:rsidR="009C02B0" w:rsidRPr="004F0C80" w:rsidRDefault="009C02B0" w:rsidP="0001445D"/>
    <w:p w14:paraId="64125FC2" w14:textId="77777777" w:rsidR="009C02B0" w:rsidRPr="004F0C80" w:rsidRDefault="009C02B0" w:rsidP="0001445D"/>
    <w:p w14:paraId="374158B5" w14:textId="77777777" w:rsidR="009C02B0" w:rsidRPr="004F0C80" w:rsidRDefault="009C02B0" w:rsidP="0001445D"/>
    <w:p w14:paraId="3112F850" w14:textId="77777777" w:rsidR="009C02B0" w:rsidRPr="004F0C80" w:rsidRDefault="009C02B0" w:rsidP="0001445D"/>
    <w:p w14:paraId="324998DC" w14:textId="77777777" w:rsidR="009C02B0" w:rsidRPr="004F0C80" w:rsidRDefault="009C02B0" w:rsidP="0001445D"/>
    <w:p w14:paraId="00CCAFE7" w14:textId="77777777" w:rsidR="009C02B0" w:rsidRPr="004F0C80" w:rsidRDefault="009C02B0" w:rsidP="0001445D"/>
    <w:p w14:paraId="17913607" w14:textId="77777777" w:rsidR="009C02B0" w:rsidRPr="004F0C80" w:rsidRDefault="009C02B0" w:rsidP="0001445D"/>
    <w:p w14:paraId="4CE0B13F" w14:textId="77777777" w:rsidR="00995EDD" w:rsidRPr="004F0C80" w:rsidRDefault="00995EDD" w:rsidP="00995EDD">
      <w:pPr>
        <w:pStyle w:val="QAIHeading1"/>
        <w:rPr>
          <w:b/>
          <w:bCs/>
        </w:rPr>
      </w:pPr>
    </w:p>
    <w:p w14:paraId="5F628BA4" w14:textId="77777777" w:rsidR="00C47B99" w:rsidRDefault="00C47B99" w:rsidP="00995EDD">
      <w:pPr>
        <w:pStyle w:val="QAIHeading1"/>
        <w:rPr>
          <w:b/>
          <w:bCs/>
        </w:rPr>
      </w:pPr>
    </w:p>
    <w:p w14:paraId="51C49BD5" w14:textId="655A9712" w:rsidR="00995EDD" w:rsidRPr="00995EDD" w:rsidRDefault="00995EDD" w:rsidP="00995EDD">
      <w:pPr>
        <w:pStyle w:val="QAIHeading1"/>
        <w:rPr>
          <w:b/>
          <w:bCs/>
        </w:rPr>
      </w:pPr>
      <w:r w:rsidRPr="00995EDD">
        <w:rPr>
          <w:b/>
          <w:bCs/>
        </w:rPr>
        <w:t>Queensland Civil and Administrative Tribunal Act review 2025–26</w:t>
      </w:r>
    </w:p>
    <w:p w14:paraId="51D20796" w14:textId="77777777" w:rsidR="0063465B" w:rsidRPr="004F0C80" w:rsidRDefault="0063465B" w:rsidP="002C7880">
      <w:pPr>
        <w:pStyle w:val="QAIHeading1"/>
      </w:pPr>
    </w:p>
    <w:p w14:paraId="0286900E" w14:textId="77777777" w:rsidR="000A2193" w:rsidRPr="004F0C80" w:rsidRDefault="000A2193" w:rsidP="0001445D"/>
    <w:p w14:paraId="7DA883D0" w14:textId="1D4D983A" w:rsidR="002A0A07" w:rsidRPr="004F0C80" w:rsidRDefault="002A0A07" w:rsidP="0001445D">
      <w:pPr>
        <w:rPr>
          <w:rFonts w:ascii="Roboto Medium" w:hAnsi="Roboto Medium"/>
          <w:b/>
          <w:bCs/>
          <w:color w:val="FFFFFF" w:themeColor="background1"/>
          <w:sz w:val="32"/>
          <w:szCs w:val="32"/>
        </w:rPr>
      </w:pPr>
      <w:r w:rsidRPr="004F0C80">
        <w:rPr>
          <w:rFonts w:ascii="Roboto Medium" w:hAnsi="Roboto Medium"/>
          <w:b/>
          <w:bCs/>
          <w:color w:val="FFFFFF" w:themeColor="background1"/>
          <w:sz w:val="32"/>
          <w:szCs w:val="32"/>
        </w:rPr>
        <w:t>T</w:t>
      </w:r>
      <w:r w:rsidR="00F05F56" w:rsidRPr="004F0C80">
        <w:rPr>
          <w:rFonts w:ascii="Roboto Medium" w:hAnsi="Roboto Medium"/>
          <w:b/>
          <w:bCs/>
          <w:color w:val="FFFFFF" w:themeColor="background1"/>
          <w:sz w:val="32"/>
          <w:szCs w:val="32"/>
        </w:rPr>
        <w:t>o</w:t>
      </w:r>
      <w:r w:rsidR="00F07BF0" w:rsidRPr="004F0C80">
        <w:rPr>
          <w:rFonts w:ascii="Roboto Medium" w:hAnsi="Roboto Medium"/>
          <w:b/>
          <w:bCs/>
          <w:color w:val="FFFFFF" w:themeColor="background1"/>
          <w:sz w:val="32"/>
          <w:szCs w:val="32"/>
        </w:rPr>
        <w:t xml:space="preserve"> </w:t>
      </w:r>
      <w:r w:rsidR="007336C7" w:rsidRPr="004F0C80">
        <w:rPr>
          <w:rFonts w:ascii="Roboto Medium" w:hAnsi="Roboto Medium"/>
          <w:b/>
          <w:bCs/>
          <w:color w:val="FFFFFF" w:themeColor="background1"/>
          <w:sz w:val="32"/>
          <w:szCs w:val="32"/>
        </w:rPr>
        <w:t xml:space="preserve">the </w:t>
      </w:r>
      <w:r w:rsidR="008F5EFF" w:rsidRPr="004F0C80">
        <w:rPr>
          <w:rFonts w:ascii="Roboto Medium" w:hAnsi="Roboto Medium"/>
          <w:b/>
          <w:bCs/>
          <w:color w:val="FFFFFF" w:themeColor="background1"/>
          <w:sz w:val="32"/>
          <w:szCs w:val="32"/>
        </w:rPr>
        <w:t>Attorney General and the Honourable</w:t>
      </w:r>
      <w:r w:rsidR="004F0C80">
        <w:rPr>
          <w:rFonts w:ascii="Roboto Medium" w:hAnsi="Roboto Medium"/>
          <w:b/>
          <w:bCs/>
          <w:color w:val="FFFFFF" w:themeColor="background1"/>
          <w:sz w:val="32"/>
          <w:szCs w:val="32"/>
        </w:rPr>
        <w:t xml:space="preserve"> David Thomas</w:t>
      </w:r>
      <w:r w:rsidR="008F5EFF" w:rsidRPr="004F0C80">
        <w:rPr>
          <w:rFonts w:ascii="Roboto Medium" w:hAnsi="Roboto Medium"/>
          <w:b/>
          <w:bCs/>
          <w:color w:val="FFFFFF" w:themeColor="background1"/>
          <w:sz w:val="32"/>
          <w:szCs w:val="32"/>
        </w:rPr>
        <w:t xml:space="preserve"> </w:t>
      </w:r>
      <w:r w:rsidR="004F0C80" w:rsidRPr="004F0C80">
        <w:rPr>
          <w:rFonts w:ascii="Roboto Medium" w:hAnsi="Roboto Medium"/>
          <w:b/>
          <w:bCs/>
          <w:color w:val="FFFFFF" w:themeColor="background1"/>
          <w:sz w:val="32"/>
          <w:szCs w:val="32"/>
        </w:rPr>
        <w:t xml:space="preserve"> </w:t>
      </w:r>
    </w:p>
    <w:p w14:paraId="15A0215F" w14:textId="77777777" w:rsidR="004C2059" w:rsidRPr="004F0C80" w:rsidRDefault="004C2059" w:rsidP="0001445D">
      <w:pPr>
        <w:rPr>
          <w:rFonts w:ascii="Roboto Medium" w:hAnsi="Roboto Medium"/>
          <w:b/>
          <w:bCs/>
          <w:color w:val="FFFFFF" w:themeColor="background1"/>
          <w:sz w:val="32"/>
          <w:szCs w:val="32"/>
        </w:rPr>
      </w:pPr>
    </w:p>
    <w:p w14:paraId="706A012D" w14:textId="5686176C" w:rsidR="00913DC3" w:rsidRPr="004F0C80" w:rsidRDefault="007533D7" w:rsidP="0001445D">
      <w:pPr>
        <w:tabs>
          <w:tab w:val="left" w:pos="1330"/>
        </w:tabs>
        <w:rPr>
          <w:rFonts w:ascii="Roboto Medium" w:hAnsi="Roboto Medium"/>
          <w:b/>
          <w:bCs/>
          <w:color w:val="FFFFFF" w:themeColor="background1"/>
          <w:sz w:val="32"/>
          <w:szCs w:val="32"/>
        </w:rPr>
      </w:pPr>
      <w:r>
        <w:rPr>
          <w:rFonts w:ascii="Roboto Medium" w:hAnsi="Roboto Medium"/>
          <w:b/>
          <w:bCs/>
          <w:color w:val="FFFFFF" w:themeColor="background1"/>
          <w:sz w:val="32"/>
          <w:szCs w:val="32"/>
        </w:rPr>
        <w:t>January 2026</w:t>
      </w:r>
    </w:p>
    <w:p w14:paraId="42EAA500" w14:textId="256FC7E8" w:rsidR="268B4E46" w:rsidRDefault="268B4E46" w:rsidP="268B4E46">
      <w:pPr>
        <w:tabs>
          <w:tab w:val="left" w:pos="1330"/>
        </w:tabs>
        <w:rPr>
          <w:rFonts w:ascii="Roboto Medium" w:hAnsi="Roboto Medium"/>
          <w:b/>
          <w:bCs/>
          <w:color w:val="FFFFFF" w:themeColor="background1"/>
          <w:sz w:val="32"/>
          <w:szCs w:val="32"/>
        </w:rPr>
      </w:pPr>
    </w:p>
    <w:p w14:paraId="31BA6C83" w14:textId="3326B2CE" w:rsidR="268B4E46" w:rsidRDefault="268B4E46" w:rsidP="268B4E46">
      <w:pPr>
        <w:tabs>
          <w:tab w:val="left" w:pos="1330"/>
        </w:tabs>
        <w:rPr>
          <w:rFonts w:ascii="Roboto Medium" w:hAnsi="Roboto Medium"/>
          <w:b/>
          <w:bCs/>
          <w:color w:val="FFFFFF" w:themeColor="background1"/>
          <w:sz w:val="32"/>
          <w:szCs w:val="32"/>
        </w:rPr>
      </w:pPr>
    </w:p>
    <w:p w14:paraId="2344CDDC" w14:textId="39EC725D" w:rsidR="00913DC3" w:rsidRPr="004F0C80" w:rsidRDefault="00913DC3" w:rsidP="0001445D">
      <w:r w:rsidRPr="004F0C80">
        <w:br w:type="page"/>
      </w:r>
    </w:p>
    <w:p w14:paraId="207908F3" w14:textId="094A4785" w:rsidR="00C64A93" w:rsidRPr="00E227C3" w:rsidRDefault="00C64A93" w:rsidP="0075651E">
      <w:pPr>
        <w:pStyle w:val="QAIHeading2"/>
      </w:pPr>
      <w:bookmarkStart w:id="0" w:name="_Toc130476827"/>
      <w:r w:rsidRPr="00E227C3">
        <w:lastRenderedPageBreak/>
        <w:t>About Queensland Advocacy for Inclusion</w:t>
      </w:r>
      <w:bookmarkEnd w:id="0"/>
    </w:p>
    <w:p w14:paraId="7D08B740" w14:textId="1DFA0ABD" w:rsidR="00CD1CD0" w:rsidRPr="004F0C80" w:rsidRDefault="00C64A93" w:rsidP="00DB3EB6">
      <w:pPr>
        <w:pStyle w:val="NormalWeb"/>
        <w:spacing w:before="240" w:beforeAutospacing="0" w:after="120" w:afterAutospacing="0" w:line="276" w:lineRule="auto"/>
        <w:rPr>
          <w:rFonts w:ascii="Source Sans Pro" w:hAnsi="Source Sans Pro" w:cs="Calibri"/>
        </w:rPr>
      </w:pPr>
      <w:bookmarkStart w:id="1" w:name="OLE_LINK2"/>
      <w:r w:rsidRPr="004F0C80">
        <w:rPr>
          <w:rFonts w:ascii="Source Sans Pro" w:hAnsi="Source Sans Pro" w:cs="Calibri"/>
        </w:rPr>
        <w:t>Queensland Advocacy for Inclusion (QAI) is a</w:t>
      </w:r>
      <w:r w:rsidR="00B221AE" w:rsidRPr="004F0C80">
        <w:rPr>
          <w:rFonts w:ascii="Source Sans Pro" w:hAnsi="Source Sans Pro" w:cs="Calibri"/>
        </w:rPr>
        <w:t xml:space="preserve"> Disabled Peoples Organisation</w:t>
      </w:r>
      <w:r w:rsidR="00ED72CF" w:rsidRPr="004F0C80">
        <w:rPr>
          <w:rFonts w:ascii="Source Sans Pro" w:hAnsi="Source Sans Pro" w:cs="Calibri"/>
        </w:rPr>
        <w:t>. We are</w:t>
      </w:r>
      <w:r w:rsidR="00B221AE" w:rsidRPr="004F0C80">
        <w:rPr>
          <w:rFonts w:ascii="Source Sans Pro" w:hAnsi="Source Sans Pro" w:cs="Calibri"/>
        </w:rPr>
        <w:t xml:space="preserve"> an</w:t>
      </w:r>
      <w:r w:rsidRPr="004F0C80">
        <w:rPr>
          <w:rFonts w:ascii="Source Sans Pro" w:hAnsi="Source Sans Pro" w:cs="Calibri"/>
        </w:rPr>
        <w:t xml:space="preserve"> independent, community-based advocacy organisation and community legal service that provides individual and systems advocacy for people with disability. Our purpose is to advocate for the protection and advancement of the needs, rights, and lives of people with disability in Queensland. QAI’s Management Committee is comprised of </w:t>
      </w:r>
      <w:proofErr w:type="gramStart"/>
      <w:r w:rsidRPr="004F0C80">
        <w:rPr>
          <w:rFonts w:ascii="Source Sans Pro" w:hAnsi="Source Sans Pro" w:cs="Calibri"/>
        </w:rPr>
        <w:t>a majority of</w:t>
      </w:r>
      <w:proofErr w:type="gramEnd"/>
      <w:r w:rsidRPr="004F0C80">
        <w:rPr>
          <w:rFonts w:ascii="Source Sans Pro" w:hAnsi="Source Sans Pro" w:cs="Calibri"/>
        </w:rPr>
        <w:t xml:space="preserve"> persons with disability, whose wisdom and lived experience guides our work and values.</w:t>
      </w:r>
    </w:p>
    <w:p w14:paraId="47E666E0" w14:textId="3DF465E3" w:rsidR="00CD1CD0" w:rsidRPr="004F0C80" w:rsidRDefault="00C64A93" w:rsidP="00DB3EB6">
      <w:pPr>
        <w:pStyle w:val="NormalWeb"/>
        <w:spacing w:before="240" w:beforeAutospacing="0" w:after="120" w:afterAutospacing="0" w:line="276" w:lineRule="auto"/>
        <w:rPr>
          <w:rFonts w:ascii="Source Sans Pro" w:hAnsi="Source Sans Pro" w:cs="Calibri"/>
        </w:rPr>
      </w:pPr>
      <w:r w:rsidRPr="004F0C80">
        <w:rPr>
          <w:rFonts w:ascii="Source Sans Pro" w:hAnsi="Source Sans Pro" w:cs="Calibri"/>
        </w:rPr>
        <w:t>QAI has</w:t>
      </w:r>
      <w:r w:rsidRPr="004F0C80">
        <w:rPr>
          <w:rFonts w:ascii="Source Sans Pro" w:hAnsi="Source Sans Pro" w:cs="Arial"/>
        </w:rPr>
        <w:t> </w:t>
      </w:r>
      <w:r w:rsidRPr="004F0C80">
        <w:rPr>
          <w:rFonts w:ascii="Source Sans Pro" w:hAnsi="Source Sans Pro" w:cs="Calibri"/>
        </w:rPr>
        <w:t>been engaged in systems advocacy for over thirty</w:t>
      </w:r>
      <w:r w:rsidR="00AA085F" w:rsidRPr="004F0C80">
        <w:rPr>
          <w:rFonts w:ascii="Source Sans Pro" w:hAnsi="Source Sans Pro" w:cs="Calibri"/>
        </w:rPr>
        <w:t>-five</w:t>
      </w:r>
      <w:r w:rsidRPr="004F0C80">
        <w:rPr>
          <w:rFonts w:ascii="Source Sans Pro" w:hAnsi="Source Sans Pro" w:cs="Calibri"/>
        </w:rPr>
        <w:t xml:space="preserve"> years,</w:t>
      </w:r>
      <w:r w:rsidRPr="004F0C80">
        <w:rPr>
          <w:rFonts w:ascii="Source Sans Pro" w:hAnsi="Source Sans Pro" w:cs="Arial"/>
        </w:rPr>
        <w:t> </w:t>
      </w:r>
      <w:r w:rsidRPr="004F0C80">
        <w:rPr>
          <w:rFonts w:ascii="Source Sans Pro" w:hAnsi="Source Sans Pro" w:cs="Calibri"/>
        </w:rPr>
        <w:t>advocating for change through campaigns directed</w:t>
      </w:r>
      <w:r w:rsidRPr="004F0C80">
        <w:rPr>
          <w:rFonts w:ascii="Source Sans Pro" w:hAnsi="Source Sans Pro" w:cs="Arial"/>
        </w:rPr>
        <w:t> </w:t>
      </w:r>
      <w:r w:rsidRPr="004F0C80">
        <w:rPr>
          <w:rFonts w:ascii="Source Sans Pro" w:hAnsi="Source Sans Pro" w:cs="Calibri"/>
        </w:rPr>
        <w:t>at</w:t>
      </w:r>
      <w:r w:rsidRPr="004F0C80">
        <w:rPr>
          <w:rFonts w:ascii="Source Sans Pro" w:hAnsi="Source Sans Pro" w:cs="Arial"/>
        </w:rPr>
        <w:t> </w:t>
      </w:r>
      <w:r w:rsidRPr="004F0C80">
        <w:rPr>
          <w:rFonts w:ascii="Source Sans Pro" w:hAnsi="Source Sans Pro" w:cs="Calibri"/>
        </w:rPr>
        <w:t>attitudinal, law and policy reform.</w:t>
      </w:r>
    </w:p>
    <w:p w14:paraId="1FACCEF8" w14:textId="5B64BCC6" w:rsidR="00CD1CD0" w:rsidRPr="004F0C80" w:rsidRDefault="00C64A93" w:rsidP="00DB3EB6">
      <w:pPr>
        <w:pStyle w:val="NormalWeb"/>
        <w:spacing w:before="240" w:beforeAutospacing="0" w:after="120" w:afterAutospacing="0" w:line="276" w:lineRule="auto"/>
        <w:rPr>
          <w:rFonts w:ascii="Source Sans Pro" w:hAnsi="Source Sans Pro" w:cs="Calibri"/>
          <w:color w:val="000000"/>
        </w:rPr>
      </w:pPr>
      <w:r w:rsidRPr="004F0C80">
        <w:rPr>
          <w:rFonts w:ascii="Source Sans Pro" w:hAnsi="Source Sans Pro" w:cs="Calibri"/>
          <w:color w:val="000000"/>
        </w:rPr>
        <w:t>QAI</w:t>
      </w:r>
      <w:r w:rsidRPr="004F0C80">
        <w:rPr>
          <w:rFonts w:ascii="Source Sans Pro" w:hAnsi="Source Sans Pro" w:cs="Arial"/>
          <w:color w:val="000000"/>
        </w:rPr>
        <w:t> </w:t>
      </w:r>
      <w:r w:rsidRPr="004F0C80">
        <w:rPr>
          <w:rFonts w:ascii="Source Sans Pro" w:hAnsi="Source Sans Pro" w:cs="Calibri"/>
          <w:color w:val="000000"/>
        </w:rPr>
        <w:t>also provides</w:t>
      </w:r>
      <w:r w:rsidRPr="004F0C80">
        <w:rPr>
          <w:rFonts w:ascii="Source Sans Pro" w:hAnsi="Source Sans Pro" w:cs="Arial"/>
          <w:color w:val="000000"/>
        </w:rPr>
        <w:t> </w:t>
      </w:r>
      <w:r w:rsidRPr="004F0C80">
        <w:rPr>
          <w:rFonts w:ascii="Source Sans Pro" w:hAnsi="Source Sans Pro" w:cs="Calibri"/>
          <w:color w:val="000000"/>
        </w:rPr>
        <w:t>individual advocacy services in the areas of human rights, disability discrimination, guardianship and administration, involuntary mental health treatment, criminal justice, N</w:t>
      </w:r>
      <w:r w:rsidR="005D3070">
        <w:rPr>
          <w:rFonts w:ascii="Source Sans Pro" w:hAnsi="Source Sans Pro" w:cs="Calibri"/>
          <w:color w:val="000000"/>
        </w:rPr>
        <w:t xml:space="preserve">ational </w:t>
      </w:r>
      <w:r w:rsidRPr="004F0C80">
        <w:rPr>
          <w:rFonts w:ascii="Source Sans Pro" w:hAnsi="Source Sans Pro" w:cs="Calibri"/>
          <w:color w:val="000000"/>
        </w:rPr>
        <w:t>D</w:t>
      </w:r>
      <w:r w:rsidR="005D3070">
        <w:rPr>
          <w:rFonts w:ascii="Source Sans Pro" w:hAnsi="Source Sans Pro" w:cs="Calibri"/>
          <w:color w:val="000000"/>
        </w:rPr>
        <w:t>isability Insurance Scheme (</w:t>
      </w:r>
      <w:r w:rsidR="005D3070" w:rsidRPr="005D3070">
        <w:rPr>
          <w:rFonts w:ascii="Source Sans Pro" w:hAnsi="Source Sans Pro" w:cs="Calibri"/>
          <w:b/>
          <w:bCs/>
          <w:color w:val="000000"/>
        </w:rPr>
        <w:t>NDIS</w:t>
      </w:r>
      <w:r w:rsidR="005D3070">
        <w:rPr>
          <w:rFonts w:ascii="Source Sans Pro" w:hAnsi="Source Sans Pro" w:cs="Calibri"/>
          <w:color w:val="000000"/>
        </w:rPr>
        <w:t>)</w:t>
      </w:r>
      <w:r w:rsidRPr="004F0C80">
        <w:rPr>
          <w:rFonts w:ascii="Source Sans Pro" w:hAnsi="Source Sans Pro" w:cs="Calibri"/>
          <w:color w:val="000000"/>
        </w:rPr>
        <w:t xml:space="preserve"> access and appeals, and </w:t>
      </w:r>
      <w:r w:rsidR="007533D7">
        <w:rPr>
          <w:rFonts w:ascii="Source Sans Pro" w:hAnsi="Source Sans Pro" w:cs="Calibri"/>
          <w:color w:val="000000"/>
        </w:rPr>
        <w:t>disability</w:t>
      </w:r>
      <w:r w:rsidRPr="004F0C80">
        <w:rPr>
          <w:rFonts w:ascii="Source Sans Pro" w:hAnsi="Source Sans Pro" w:cs="Calibri"/>
          <w:color w:val="000000"/>
        </w:rPr>
        <w:t xml:space="preserve"> advocacy for young people with disability. Our individual advocacy experience</w:t>
      </w:r>
      <w:r w:rsidRPr="004F0C80">
        <w:rPr>
          <w:rFonts w:ascii="Source Sans Pro" w:hAnsi="Source Sans Pro" w:cs="Arial"/>
          <w:color w:val="000000"/>
        </w:rPr>
        <w:t> </w:t>
      </w:r>
      <w:r w:rsidRPr="004F0C80">
        <w:rPr>
          <w:rFonts w:ascii="Source Sans Pro" w:hAnsi="Source Sans Pro" w:cs="Calibri"/>
          <w:color w:val="000000"/>
        </w:rPr>
        <w:t>informs our understanding and prioritisation of systemic advocacy issues.</w:t>
      </w:r>
    </w:p>
    <w:p w14:paraId="02E53F3B" w14:textId="183EC431" w:rsidR="00C64A93" w:rsidRDefault="00C64A93" w:rsidP="00DB3EB6">
      <w:pPr>
        <w:pStyle w:val="NormalWeb"/>
        <w:spacing w:before="240" w:beforeAutospacing="0" w:after="120" w:afterAutospacing="0" w:line="276" w:lineRule="auto"/>
        <w:rPr>
          <w:rFonts w:ascii="Source Sans Pro" w:hAnsi="Source Sans Pro" w:cs="Calibri"/>
        </w:rPr>
      </w:pPr>
      <w:r w:rsidRPr="004F0C80">
        <w:rPr>
          <w:rFonts w:ascii="Source Sans Pro" w:hAnsi="Source Sans Pro" w:cs="Calibri"/>
        </w:rPr>
        <w:t>Since 1 January 2022, QAI has also been funded by the Queensland Government to establish and co-ordinate the Queensland Independent Disability Advocacy Network (QIDAN).</w:t>
      </w:r>
      <w:r w:rsidR="00831FBB">
        <w:rPr>
          <w:rStyle w:val="FootnoteReference"/>
          <w:rFonts w:ascii="Source Sans Pro" w:hAnsi="Source Sans Pro" w:cs="Calibri"/>
        </w:rPr>
        <w:footnoteReference w:id="2"/>
      </w:r>
      <w:r w:rsidRPr="004F0C80">
        <w:rPr>
          <w:rFonts w:ascii="Source Sans Pro" w:hAnsi="Source Sans Pro" w:cs="Calibri"/>
        </w:rPr>
        <w:t xml:space="preserve"> QIDAN members work collaboratively to raise the profile of disability advocacy while also working towards attitudinal, policy and legislative change for people with disability in Queensland.</w:t>
      </w:r>
      <w:r w:rsidR="00293A16">
        <w:rPr>
          <w:rFonts w:ascii="Source Sans Pro" w:hAnsi="Source Sans Pro" w:cs="Calibri"/>
        </w:rPr>
        <w:t xml:space="preserve"> This submission is also informed by QAI’s experience </w:t>
      </w:r>
      <w:bookmarkEnd w:id="1"/>
      <w:r w:rsidR="008A10E5">
        <w:rPr>
          <w:rFonts w:ascii="Source Sans Pro" w:hAnsi="Source Sans Pro" w:cs="Calibri"/>
        </w:rPr>
        <w:t xml:space="preserve">coordinating QIDAN and </w:t>
      </w:r>
      <w:r w:rsidR="007B05AA">
        <w:rPr>
          <w:rFonts w:ascii="Source Sans Pro" w:hAnsi="Source Sans Pro" w:cs="Calibri"/>
        </w:rPr>
        <w:t xml:space="preserve">engaging with Queensland disability advocates. </w:t>
      </w:r>
    </w:p>
    <w:p w14:paraId="022DFFF8" w14:textId="2D42D943" w:rsidR="00E175C3" w:rsidRPr="004F0C80" w:rsidRDefault="00E175C3" w:rsidP="00DB3EB6">
      <w:pPr>
        <w:pStyle w:val="NormalWeb"/>
        <w:spacing w:before="240" w:beforeAutospacing="0" w:after="120" w:afterAutospacing="0" w:line="276" w:lineRule="auto"/>
        <w:rPr>
          <w:rFonts w:ascii="Source Sans Pro" w:hAnsi="Source Sans Pro" w:cs="Calibri"/>
        </w:rPr>
      </w:pPr>
      <w:r w:rsidRPr="00E175C3">
        <w:rPr>
          <w:rFonts w:ascii="Source Sans Pro" w:hAnsi="Source Sans Pro" w:cs="Calibri"/>
        </w:rPr>
        <w:t>Q</w:t>
      </w:r>
      <w:r>
        <w:rPr>
          <w:rFonts w:ascii="Source Sans Pro" w:hAnsi="Source Sans Pro" w:cs="Calibri"/>
        </w:rPr>
        <w:t>AI</w:t>
      </w:r>
      <w:r w:rsidRPr="00E175C3">
        <w:rPr>
          <w:rFonts w:ascii="Source Sans Pro" w:hAnsi="Source Sans Pro" w:cs="Calibri"/>
        </w:rPr>
        <w:t xml:space="preserve"> contributed to the </w:t>
      </w:r>
      <w:r w:rsidR="00AF67D2">
        <w:rPr>
          <w:rFonts w:ascii="Source Sans Pro" w:hAnsi="Source Sans Pro" w:cs="Calibri"/>
        </w:rPr>
        <w:t>Royal Commission into Violence, Abuse, Neglect and Exploitation of People with Disability (</w:t>
      </w:r>
      <w:r w:rsidR="00AF67D2" w:rsidRPr="00AF67D2">
        <w:rPr>
          <w:rFonts w:ascii="Source Sans Pro" w:hAnsi="Source Sans Pro" w:cs="Calibri"/>
          <w:b/>
          <w:bCs/>
        </w:rPr>
        <w:t>DRC</w:t>
      </w:r>
      <w:r w:rsidR="00AF67D2">
        <w:rPr>
          <w:rFonts w:ascii="Source Sans Pro" w:hAnsi="Source Sans Pro" w:cs="Calibri"/>
        </w:rPr>
        <w:t>)</w:t>
      </w:r>
      <w:r w:rsidRPr="00E175C3">
        <w:rPr>
          <w:rFonts w:ascii="Source Sans Pro" w:hAnsi="Source Sans Pro" w:cs="Calibri"/>
        </w:rPr>
        <w:t xml:space="preserve"> in several ways, </w:t>
      </w:r>
      <w:r w:rsidR="00DA448B">
        <w:rPr>
          <w:rFonts w:ascii="Source Sans Pro" w:hAnsi="Source Sans Pro" w:cs="Calibri"/>
        </w:rPr>
        <w:t>including</w:t>
      </w:r>
      <w:r w:rsidRPr="00E175C3">
        <w:rPr>
          <w:rFonts w:ascii="Source Sans Pro" w:hAnsi="Source Sans Pro" w:cs="Calibri"/>
        </w:rPr>
        <w:t xml:space="preserve"> providing advocacy to people with disability involved in the DRC to access and share their experiences, preparing submissions and attending hearings.</w:t>
      </w:r>
      <w:r w:rsidR="00DA448B">
        <w:rPr>
          <w:rFonts w:ascii="Source Sans Pro" w:hAnsi="Source Sans Pro" w:cs="Calibri"/>
        </w:rPr>
        <w:t xml:space="preserve"> </w:t>
      </w:r>
      <w:r w:rsidR="0043189B">
        <w:rPr>
          <w:rFonts w:ascii="Source Sans Pro" w:hAnsi="Source Sans Pro" w:cs="Calibri"/>
        </w:rPr>
        <w:t xml:space="preserve">As part of this submission, we would like to </w:t>
      </w:r>
      <w:r w:rsidR="009458EB">
        <w:rPr>
          <w:rFonts w:ascii="Source Sans Pro" w:hAnsi="Source Sans Pro" w:cs="Calibri"/>
        </w:rPr>
        <w:t>bring to</w:t>
      </w:r>
      <w:r w:rsidR="0043189B">
        <w:rPr>
          <w:rFonts w:ascii="Source Sans Pro" w:hAnsi="Source Sans Pro" w:cs="Calibri"/>
        </w:rPr>
        <w:t xml:space="preserve"> the QCAT Act Review Team’s attention QAI’s evidence provided to the DRC</w:t>
      </w:r>
      <w:r w:rsidR="00865A87">
        <w:rPr>
          <w:rFonts w:ascii="Source Sans Pro" w:hAnsi="Source Sans Pro" w:cs="Calibri"/>
        </w:rPr>
        <w:t xml:space="preserve"> about Queensland’s guardianship framework</w:t>
      </w:r>
      <w:r w:rsidR="009458EB">
        <w:rPr>
          <w:rFonts w:ascii="Source Sans Pro" w:hAnsi="Source Sans Pro" w:cs="Calibri"/>
        </w:rPr>
        <w:t>, as it is relevant for this</w:t>
      </w:r>
      <w:r w:rsidR="00D73242">
        <w:rPr>
          <w:rFonts w:ascii="Source Sans Pro" w:hAnsi="Source Sans Pro" w:cs="Calibri"/>
        </w:rPr>
        <w:t xml:space="preserve"> present review</w:t>
      </w:r>
      <w:r w:rsidR="00865A87">
        <w:rPr>
          <w:rFonts w:ascii="Source Sans Pro" w:hAnsi="Source Sans Pro" w:cs="Calibri"/>
        </w:rPr>
        <w:t>.</w:t>
      </w:r>
      <w:r w:rsidR="00E778B7">
        <w:rPr>
          <w:rStyle w:val="FootnoteReference"/>
          <w:rFonts w:ascii="Source Sans Pro" w:hAnsi="Source Sans Pro" w:cs="Calibri"/>
        </w:rPr>
        <w:footnoteReference w:id="3"/>
      </w:r>
      <w:r w:rsidR="0043189B">
        <w:rPr>
          <w:rFonts w:ascii="Source Sans Pro" w:hAnsi="Source Sans Pro" w:cs="Calibri"/>
        </w:rPr>
        <w:t xml:space="preserve"> </w:t>
      </w:r>
    </w:p>
    <w:p w14:paraId="000BDCD2" w14:textId="77777777" w:rsidR="009C02B0" w:rsidRPr="004F0C80" w:rsidRDefault="009C02B0" w:rsidP="0001445D"/>
    <w:p w14:paraId="79F4D656" w14:textId="40A2461C" w:rsidR="006A52D5" w:rsidRPr="004F0C80" w:rsidRDefault="006A52D5" w:rsidP="0001445D">
      <w:r w:rsidRPr="004F0C80">
        <w:br w:type="page"/>
      </w:r>
    </w:p>
    <w:p w14:paraId="470C89C8" w14:textId="034DB2AB" w:rsidR="00FA70F6" w:rsidRPr="004F0C80" w:rsidRDefault="00FA70F6" w:rsidP="0075651E">
      <w:pPr>
        <w:pStyle w:val="QAIHeading2"/>
      </w:pPr>
      <w:bookmarkStart w:id="2" w:name="_Toc130476828"/>
      <w:r w:rsidRPr="004F0C80">
        <w:lastRenderedPageBreak/>
        <w:t>QAI’s recommendations</w:t>
      </w:r>
      <w:bookmarkEnd w:id="2"/>
    </w:p>
    <w:p w14:paraId="4ED3B6C9" w14:textId="3368BCB0" w:rsidR="00A00A75" w:rsidRPr="00DC3369" w:rsidRDefault="0093269B" w:rsidP="00031D01">
      <w:pPr>
        <w:spacing w:before="80" w:after="120"/>
        <w:rPr>
          <w:rFonts w:eastAsia="Arial" w:cs="Arial"/>
          <w:b/>
          <w:bCs/>
          <w:color w:val="0A0A0A"/>
        </w:rPr>
      </w:pPr>
      <w:r>
        <w:t xml:space="preserve">As </w:t>
      </w:r>
      <w:r w:rsidR="00DD09C5">
        <w:t xml:space="preserve">a </w:t>
      </w:r>
      <w:r>
        <w:t xml:space="preserve">preface to our recommendations, we would like to draw attention to </w:t>
      </w:r>
      <w:r w:rsidRPr="00DC3369">
        <w:rPr>
          <w:rFonts w:eastAsia="Arial" w:cs="Arial"/>
          <w:color w:val="0A0A0A"/>
        </w:rPr>
        <w:t xml:space="preserve">Article 12 (2) </w:t>
      </w:r>
      <w:r w:rsidR="00E9076D" w:rsidRPr="00DC3369">
        <w:rPr>
          <w:rFonts w:eastAsia="Arial" w:cs="Arial"/>
          <w:color w:val="0A0A0A"/>
        </w:rPr>
        <w:t xml:space="preserve">of the </w:t>
      </w:r>
      <w:r w:rsidR="00706223">
        <w:rPr>
          <w:rFonts w:eastAsia="Arial" w:cs="Arial"/>
          <w:color w:val="0A0A0A"/>
        </w:rPr>
        <w:t>UN</w:t>
      </w:r>
      <w:r w:rsidR="00E9076D" w:rsidRPr="00DC3369">
        <w:rPr>
          <w:rFonts w:eastAsia="Arial" w:cs="Arial"/>
          <w:color w:val="0A0A0A"/>
        </w:rPr>
        <w:t xml:space="preserve"> Convention </w:t>
      </w:r>
      <w:r w:rsidR="00E91F21" w:rsidRPr="00DC3369">
        <w:rPr>
          <w:rFonts w:eastAsia="Arial" w:cs="Arial"/>
          <w:color w:val="0A0A0A"/>
        </w:rPr>
        <w:t>on the Rights of Persons with Disabilities</w:t>
      </w:r>
      <w:r w:rsidR="00182B8A">
        <w:rPr>
          <w:rFonts w:eastAsia="Arial" w:cs="Arial"/>
          <w:color w:val="0A0A0A"/>
        </w:rPr>
        <w:t>, to which Australia is a signatory</w:t>
      </w:r>
      <w:r w:rsidR="00E91F21" w:rsidRPr="00DC3369">
        <w:rPr>
          <w:rFonts w:eastAsia="Arial" w:cs="Arial"/>
          <w:color w:val="0A0A0A"/>
        </w:rPr>
        <w:t>.</w:t>
      </w:r>
    </w:p>
    <w:p w14:paraId="152022C9" w14:textId="1034A612" w:rsidR="0093269B" w:rsidRPr="00544CEE" w:rsidRDefault="0093269B" w:rsidP="00544CEE">
      <w:pPr>
        <w:spacing w:before="120" w:after="120"/>
        <w:ind w:left="720" w:right="567"/>
        <w:jc w:val="center"/>
        <w:rPr>
          <w:rFonts w:cs="Calibri"/>
          <w:color w:val="401E6B"/>
          <w:sz w:val="28"/>
          <w:szCs w:val="28"/>
        </w:rPr>
      </w:pPr>
      <w:r w:rsidRPr="00544CEE">
        <w:rPr>
          <w:rFonts w:cs="Calibri"/>
          <w:color w:val="401E6B"/>
          <w:sz w:val="28"/>
          <w:szCs w:val="28"/>
        </w:rPr>
        <w:t>States Parties shall recognize that persons with disabilities enjoy legal capacity on an equal basis with others in all aspects of life.</w:t>
      </w:r>
    </w:p>
    <w:p w14:paraId="719D61C4" w14:textId="01286D67" w:rsidR="00CD49A5" w:rsidRDefault="00CD49A5" w:rsidP="004E3876">
      <w:pPr>
        <w:pStyle w:val="ListParagraph"/>
        <w:numPr>
          <w:ilvl w:val="0"/>
          <w:numId w:val="6"/>
        </w:numPr>
        <w:spacing w:before="120" w:after="120"/>
        <w:ind w:hanging="357"/>
      </w:pPr>
      <w:r w:rsidRPr="00CD49A5">
        <w:t xml:space="preserve">Introduce a right to free legal representation for adults who are subject to guardianship and administration matters before QCAT.  We recommend that QCAT follow the Mental Health Review Tribunal’s model of appointing legal representation in certain matters, with the ability for the adult to ‘opt out’ of having legal representation. </w:t>
      </w:r>
    </w:p>
    <w:p w14:paraId="0CF727B2" w14:textId="4FC83EFB" w:rsidR="0052736A" w:rsidRPr="00CD49A5" w:rsidRDefault="0052736A" w:rsidP="004E3876">
      <w:pPr>
        <w:pStyle w:val="ListParagraph"/>
        <w:numPr>
          <w:ilvl w:val="0"/>
          <w:numId w:val="6"/>
        </w:numPr>
        <w:spacing w:before="120" w:after="120"/>
        <w:ind w:hanging="357"/>
      </w:pPr>
      <w:r w:rsidRPr="00CD49A5">
        <w:t>Adequately resource independent disability advocates</w:t>
      </w:r>
      <w:r w:rsidR="0029099D">
        <w:t xml:space="preserve"> to </w:t>
      </w:r>
      <w:r w:rsidR="0029099D" w:rsidRPr="00CD49A5">
        <w:t xml:space="preserve">work with the adult to identify and build supports in their networks </w:t>
      </w:r>
      <w:r w:rsidR="00DA5B5C">
        <w:t>to</w:t>
      </w:r>
      <w:r w:rsidR="0029099D" w:rsidRPr="00CD49A5">
        <w:t xml:space="preserve"> maximise and embed enhanced capacity</w:t>
      </w:r>
      <w:r w:rsidR="0029099D">
        <w:t xml:space="preserve"> and</w:t>
      </w:r>
      <w:r w:rsidRPr="00CD49A5">
        <w:t xml:space="preserve"> to deliver a supported </w:t>
      </w:r>
      <w:r w:rsidR="004633D3" w:rsidRPr="00CD49A5">
        <w:t>decision-making</w:t>
      </w:r>
      <w:r w:rsidRPr="00CD49A5">
        <w:t xml:space="preserve"> framework for adults subject to a guardianship and/or administration application.</w:t>
      </w:r>
    </w:p>
    <w:p w14:paraId="3DBCA2A0" w14:textId="77777777" w:rsidR="00CD49A5" w:rsidRPr="00CD49A5" w:rsidRDefault="00CD49A5" w:rsidP="004E3876">
      <w:pPr>
        <w:pStyle w:val="ListParagraph"/>
        <w:numPr>
          <w:ilvl w:val="0"/>
          <w:numId w:val="6"/>
        </w:numPr>
        <w:spacing w:before="120" w:after="120"/>
        <w:ind w:hanging="357"/>
      </w:pPr>
      <w:r w:rsidRPr="00CD49A5">
        <w:t xml:space="preserve">Introduce a ‘paramount consideration’ being the rights of the adult in all guardianship and administration proceedings. </w:t>
      </w:r>
    </w:p>
    <w:p w14:paraId="08B7A8DF" w14:textId="2E73D178" w:rsidR="00CD49A5" w:rsidRPr="00CD49A5" w:rsidRDefault="00A21419" w:rsidP="004E3876">
      <w:pPr>
        <w:pStyle w:val="ListParagraph"/>
        <w:numPr>
          <w:ilvl w:val="0"/>
          <w:numId w:val="6"/>
        </w:numPr>
        <w:spacing w:before="120" w:after="120"/>
        <w:ind w:hanging="357"/>
      </w:pPr>
      <w:r w:rsidRPr="00A21419">
        <w:t>The adult subject to a guardianship and/or administration application, or the review of an appointment, should have the opportunity to choose how they will appear at the QCAT hearing</w:t>
      </w:r>
      <w:r>
        <w:t xml:space="preserve"> – </w:t>
      </w:r>
      <w:r w:rsidRPr="00A21419">
        <w:t>in-person, by telephone or by video conference</w:t>
      </w:r>
      <w:r w:rsidR="00CD49A5" w:rsidRPr="00CD49A5">
        <w:t>.</w:t>
      </w:r>
    </w:p>
    <w:p w14:paraId="08D63733" w14:textId="688EB9C9" w:rsidR="00CD49A5" w:rsidRPr="00CD49A5" w:rsidRDefault="00CD49A5" w:rsidP="004E3876">
      <w:pPr>
        <w:pStyle w:val="ListParagraph"/>
        <w:numPr>
          <w:ilvl w:val="0"/>
          <w:numId w:val="6"/>
        </w:numPr>
        <w:spacing w:before="120" w:after="120"/>
        <w:ind w:hanging="357"/>
      </w:pPr>
      <w:r w:rsidRPr="00CD49A5">
        <w:t xml:space="preserve">Create opportunities for people with disability to fully participate in the QCAT proceedings, as per DRC Recommendation 6.11. QCAT should include the steps it is taking to maximise the participation of people with disability in proceedings in its annual report. </w:t>
      </w:r>
    </w:p>
    <w:p w14:paraId="0CE1A10A" w14:textId="122474CE" w:rsidR="00CD49A5" w:rsidRDefault="00606F93" w:rsidP="004E3876">
      <w:pPr>
        <w:pStyle w:val="ListParagraph"/>
        <w:numPr>
          <w:ilvl w:val="0"/>
          <w:numId w:val="6"/>
        </w:numPr>
        <w:spacing w:before="120" w:after="120"/>
        <w:ind w:hanging="357"/>
      </w:pPr>
      <w:r>
        <w:t xml:space="preserve">As per </w:t>
      </w:r>
      <w:r w:rsidR="00CD49A5" w:rsidRPr="00C10CEE">
        <w:t>Article 12 (2) of the UNCRPD</w:t>
      </w:r>
      <w:r w:rsidR="002E454C">
        <w:t xml:space="preserve"> and DRC recommendation 6.9</w:t>
      </w:r>
      <w:r w:rsidR="009A068E">
        <w:t xml:space="preserve">, </w:t>
      </w:r>
      <w:r w:rsidR="00CD49A5" w:rsidRPr="00C10CEE">
        <w:t>e</w:t>
      </w:r>
      <w:r w:rsidR="00CD49A5" w:rsidRPr="00CD49A5">
        <w:t>nsure that guardianship and administration orders are only made as a last resort and in a way that is the least restrictive of a person's rights, autonomy and actions</w:t>
      </w:r>
      <w:r w:rsidR="001E16E9">
        <w:t>.</w:t>
      </w:r>
      <w:r w:rsidR="00CD49A5" w:rsidRPr="00CD49A5">
        <w:t xml:space="preserve"> This can be done by:</w:t>
      </w:r>
    </w:p>
    <w:p w14:paraId="5A06BCE5" w14:textId="0686ACC2" w:rsidR="00CD49A5" w:rsidRDefault="00653AD0" w:rsidP="004E3876">
      <w:pPr>
        <w:pStyle w:val="ListParagraph"/>
        <w:numPr>
          <w:ilvl w:val="1"/>
          <w:numId w:val="6"/>
        </w:numPr>
        <w:spacing w:before="120" w:after="120"/>
        <w:ind w:hanging="357"/>
      </w:pPr>
      <w:r>
        <w:t>L</w:t>
      </w:r>
      <w:r w:rsidR="00CD49A5" w:rsidRPr="00CD49A5">
        <w:t>egislating that an interim guardianship or administration order should only be able to be made where there is clear, cogent and current evidence of an immediate risk of harm. “On the papers” interim orders are incompatible with human rights and should not be allowed. The adult must be allowed to participate in a hearing before any order is made.</w:t>
      </w:r>
    </w:p>
    <w:p w14:paraId="4F898A83" w14:textId="24383F9E" w:rsidR="00CD49A5" w:rsidRPr="00CD49A5" w:rsidRDefault="00CD49A5" w:rsidP="004E3876">
      <w:pPr>
        <w:pStyle w:val="ListParagraph"/>
        <w:numPr>
          <w:ilvl w:val="1"/>
          <w:numId w:val="6"/>
        </w:numPr>
        <w:spacing w:before="120" w:after="120"/>
        <w:ind w:hanging="357"/>
      </w:pPr>
      <w:r w:rsidRPr="00CD49A5">
        <w:lastRenderedPageBreak/>
        <w:t xml:space="preserve">Introducing guidance on who can complete a health professional report. The report must have </w:t>
      </w:r>
      <w:r w:rsidR="00BE6FED">
        <w:t>been</w:t>
      </w:r>
      <w:r w:rsidRPr="00CD49A5">
        <w:t xml:space="preserve"> written for the purposes of the guardianship and administration proceedings and must answer specific questions about the adult’s capacity as defined in the </w:t>
      </w:r>
      <w:r w:rsidRPr="00F0652B">
        <w:rPr>
          <w:i/>
          <w:iCs/>
        </w:rPr>
        <w:t>Guardianship and Administration Act 2000 (Qld)</w:t>
      </w:r>
      <w:r w:rsidRPr="00CD49A5">
        <w:t xml:space="preserve">. </w:t>
      </w:r>
    </w:p>
    <w:p w14:paraId="6A939DF3" w14:textId="1CED5DA7" w:rsidR="00CD49A5" w:rsidRDefault="00CD49A5" w:rsidP="004E3876">
      <w:pPr>
        <w:pStyle w:val="ListParagraph"/>
        <w:numPr>
          <w:ilvl w:val="1"/>
          <w:numId w:val="6"/>
        </w:numPr>
        <w:spacing w:before="120" w:after="120"/>
        <w:ind w:hanging="357"/>
      </w:pPr>
      <w:r w:rsidRPr="00CD49A5">
        <w:t>Restrict</w:t>
      </w:r>
      <w:r w:rsidR="002F1E2E">
        <w:t>ing</w:t>
      </w:r>
      <w:r w:rsidRPr="00CD49A5">
        <w:t xml:space="preserve"> who can be an applicant in guardianship and administration </w:t>
      </w:r>
      <w:r w:rsidR="004633D3" w:rsidRPr="00CD49A5">
        <w:t>proceedings and</w:t>
      </w:r>
      <w:r w:rsidRPr="00CD49A5">
        <w:t xml:space="preserve"> introduc</w:t>
      </w:r>
      <w:r w:rsidR="00F74A23">
        <w:t>ing</w:t>
      </w:r>
      <w:r w:rsidRPr="00CD49A5">
        <w:t xml:space="preserve"> a requ</w:t>
      </w:r>
      <w:r w:rsidR="00F0652B">
        <w:t>i</w:t>
      </w:r>
      <w:r w:rsidRPr="00CD49A5">
        <w:t xml:space="preserve">rement to disclose any financial interest that the applicant may have in the adult, for example, where a disability service provider makes an application for a participant who uses their services. </w:t>
      </w:r>
    </w:p>
    <w:p w14:paraId="1DF4437A" w14:textId="702A15B1" w:rsidR="00CD49A5" w:rsidRPr="00CD49A5" w:rsidRDefault="00CD49A5" w:rsidP="004E3876">
      <w:pPr>
        <w:pStyle w:val="ListParagraph"/>
        <w:numPr>
          <w:ilvl w:val="1"/>
          <w:numId w:val="6"/>
        </w:numPr>
        <w:spacing w:before="120" w:after="120"/>
        <w:ind w:hanging="357"/>
      </w:pPr>
      <w:r w:rsidRPr="00CD49A5">
        <w:t>Receiving evidence from the adult themselves with appropriate support to maximise their participation</w:t>
      </w:r>
      <w:r w:rsidR="00455231">
        <w:t>.</w:t>
      </w:r>
    </w:p>
    <w:p w14:paraId="3ECD702B" w14:textId="50406A0A" w:rsidR="00CD49A5" w:rsidRPr="00CD49A5" w:rsidRDefault="00CD49A5" w:rsidP="004E3876">
      <w:pPr>
        <w:pStyle w:val="ListParagraph"/>
        <w:numPr>
          <w:ilvl w:val="0"/>
          <w:numId w:val="6"/>
        </w:numPr>
        <w:spacing w:before="120" w:after="120"/>
        <w:ind w:hanging="357"/>
      </w:pPr>
      <w:r w:rsidRPr="00CD49A5">
        <w:t>Introduce a requirement that sworn evidence of the notification of the subject adult, and confirmation of their views regarding the relevant application, is filed with the application.</w:t>
      </w:r>
    </w:p>
    <w:p w14:paraId="6A54FB15" w14:textId="08793F83" w:rsidR="00CD49A5" w:rsidRPr="00CD49A5" w:rsidRDefault="00CD49A5" w:rsidP="004E3876">
      <w:pPr>
        <w:pStyle w:val="ListParagraph"/>
        <w:numPr>
          <w:ilvl w:val="0"/>
          <w:numId w:val="6"/>
        </w:numPr>
        <w:spacing w:before="120" w:after="120"/>
        <w:ind w:hanging="357"/>
      </w:pPr>
      <w:r w:rsidRPr="00CD49A5">
        <w:t xml:space="preserve">The Registrar </w:t>
      </w:r>
      <w:r w:rsidR="009531E2">
        <w:t xml:space="preserve">must </w:t>
      </w:r>
      <w:r w:rsidRPr="00CD49A5">
        <w:t xml:space="preserve">ensure that when hearing notices are sent, only parties who are relevant to the current application are notified and </w:t>
      </w:r>
      <w:r w:rsidR="002C0B17">
        <w:t>irrelevant</w:t>
      </w:r>
      <w:r w:rsidRPr="00CD49A5">
        <w:t xml:space="preserve"> parties from previous matters are not</w:t>
      </w:r>
      <w:r w:rsidR="002C0B17">
        <w:t>.</w:t>
      </w:r>
      <w:r w:rsidRPr="00CD49A5">
        <w:t xml:space="preserve"> </w:t>
      </w:r>
    </w:p>
    <w:p w14:paraId="5931502F" w14:textId="2E863332" w:rsidR="00CD49A5" w:rsidRDefault="00CD49A5" w:rsidP="004E3876">
      <w:pPr>
        <w:pStyle w:val="ListParagraph"/>
        <w:numPr>
          <w:ilvl w:val="0"/>
          <w:numId w:val="6"/>
        </w:numPr>
        <w:spacing w:before="120" w:after="120"/>
        <w:ind w:hanging="357"/>
      </w:pPr>
      <w:r w:rsidRPr="00CD49A5">
        <w:t xml:space="preserve">Representatives should have access to information and evidence before QCAT, regardless of whether </w:t>
      </w:r>
      <w:r w:rsidR="00240C3E">
        <w:t xml:space="preserve">there is </w:t>
      </w:r>
      <w:r w:rsidRPr="00CD49A5">
        <w:t>an existing confidentiality order in place.</w:t>
      </w:r>
    </w:p>
    <w:p w14:paraId="30B2C769" w14:textId="376CE2BD" w:rsidR="005313BF" w:rsidRDefault="005313BF" w:rsidP="005313BF">
      <w:pPr>
        <w:pStyle w:val="ListParagraph"/>
        <w:numPr>
          <w:ilvl w:val="0"/>
          <w:numId w:val="6"/>
        </w:numPr>
        <w:spacing w:before="120" w:after="120"/>
        <w:ind w:hanging="357"/>
      </w:pPr>
      <w:r>
        <w:t>E</w:t>
      </w:r>
      <w:r w:rsidRPr="00CD49A5">
        <w:t xml:space="preserve">stablish panels of specialist members, as per recommendations 4.12 to 4.14 of the QHRC’s Building Belonging report, which should apply to </w:t>
      </w:r>
      <w:proofErr w:type="gramStart"/>
      <w:r w:rsidRPr="00CD49A5">
        <w:t xml:space="preserve">all </w:t>
      </w:r>
      <w:r w:rsidR="00517FA3">
        <w:t>of</w:t>
      </w:r>
      <w:proofErr w:type="gramEnd"/>
      <w:r w:rsidR="00517FA3">
        <w:t xml:space="preserve"> </w:t>
      </w:r>
      <w:r w:rsidRPr="00CD49A5">
        <w:t>the QCAT Human Rights Division.</w:t>
      </w:r>
      <w:r>
        <w:rPr>
          <w:rStyle w:val="FootnoteReference"/>
        </w:rPr>
        <w:footnoteReference w:id="4"/>
      </w:r>
      <w:r w:rsidRPr="00CD49A5">
        <w:t xml:space="preserve"> </w:t>
      </w:r>
    </w:p>
    <w:p w14:paraId="6D7C8A78" w14:textId="0B615BD4" w:rsidR="00C05AC4" w:rsidRPr="00CD49A5" w:rsidRDefault="00C05AC4" w:rsidP="00C05AC4">
      <w:pPr>
        <w:pStyle w:val="ListParagraph"/>
        <w:numPr>
          <w:ilvl w:val="0"/>
          <w:numId w:val="6"/>
        </w:numPr>
        <w:spacing w:before="120" w:after="120"/>
        <w:ind w:hanging="357"/>
      </w:pPr>
      <w:r w:rsidRPr="00CD49A5">
        <w:t xml:space="preserve">Create a specialist registry within QCAT that deals with guardianship and administration matters. Adequately resource this registry to respond to enquiries in a way that is accessible, fair, just, economical, informal and quick. </w:t>
      </w:r>
    </w:p>
    <w:p w14:paraId="69A4172C" w14:textId="77777777" w:rsidR="00CD49A5" w:rsidRPr="00CD49A5" w:rsidRDefault="00CD49A5" w:rsidP="004E3876">
      <w:pPr>
        <w:pStyle w:val="ListParagraph"/>
        <w:numPr>
          <w:ilvl w:val="0"/>
          <w:numId w:val="6"/>
        </w:numPr>
        <w:spacing w:before="120" w:after="120"/>
        <w:ind w:hanging="357"/>
      </w:pPr>
      <w:r w:rsidRPr="00CD49A5">
        <w:t>Implement the recommendations made by the Office of the Public Advocate in the “Proceedings from a Roundtable on Litigation Guardianship”.</w:t>
      </w:r>
      <w:r w:rsidRPr="00CD49A5">
        <w:rPr>
          <w:rStyle w:val="FootnoteReference"/>
        </w:rPr>
        <w:footnoteReference w:id="5"/>
      </w:r>
    </w:p>
    <w:p w14:paraId="397DDF31" w14:textId="522ED4BC" w:rsidR="00CD49A5" w:rsidRPr="00CD49A5" w:rsidRDefault="009531E2" w:rsidP="004E3876">
      <w:pPr>
        <w:pStyle w:val="ListParagraph"/>
        <w:numPr>
          <w:ilvl w:val="0"/>
          <w:numId w:val="6"/>
        </w:numPr>
        <w:spacing w:before="120" w:after="120"/>
        <w:ind w:hanging="357"/>
      </w:pPr>
      <w:r>
        <w:t>R</w:t>
      </w:r>
      <w:r w:rsidR="00CD49A5" w:rsidRPr="00CD49A5">
        <w:t>ecord and publish data on the number of matters that included legal and non-legal representation, and the number of in-person, remote and on-papers hearings.</w:t>
      </w:r>
    </w:p>
    <w:p w14:paraId="38CF0187" w14:textId="04847D3B" w:rsidR="00F92B52" w:rsidRPr="004F0C80" w:rsidRDefault="00F92B52" w:rsidP="0075651E">
      <w:pPr>
        <w:pStyle w:val="QAIHeading2"/>
      </w:pPr>
      <w:bookmarkStart w:id="3" w:name="_Toc130476830"/>
      <w:r w:rsidRPr="004F0C80">
        <w:lastRenderedPageBreak/>
        <w:t>Introduction</w:t>
      </w:r>
    </w:p>
    <w:p w14:paraId="2248C128" w14:textId="35E46D7C" w:rsidR="00680F0D" w:rsidRDefault="001666DC" w:rsidP="007A49A7">
      <w:pPr>
        <w:spacing w:before="120" w:after="120"/>
      </w:pPr>
      <w:r>
        <w:t xml:space="preserve">We welcome the opportunity to contribute to the </w:t>
      </w:r>
      <w:r w:rsidR="00D14EEA">
        <w:t>Queensland Civil and Administrative Tribunal Act Statutory Review 2025-26 (</w:t>
      </w:r>
      <w:r w:rsidR="00D14EEA" w:rsidRPr="00001031">
        <w:rPr>
          <w:b/>
          <w:bCs/>
        </w:rPr>
        <w:t>the QCAT Review</w:t>
      </w:r>
      <w:r w:rsidR="00D14EEA">
        <w:t xml:space="preserve">). </w:t>
      </w:r>
      <w:r w:rsidR="00F35D6F">
        <w:t>This review provides a genuine opportunity</w:t>
      </w:r>
      <w:r w:rsidR="00151489">
        <w:t xml:space="preserve"> to look at QCAT’s current operations</w:t>
      </w:r>
      <w:r w:rsidR="005F4478">
        <w:t xml:space="preserve"> and </w:t>
      </w:r>
      <w:r w:rsidR="000C2B87">
        <w:t xml:space="preserve">its legislative issues </w:t>
      </w:r>
      <w:r w:rsidR="00A635DF">
        <w:t>that impact</w:t>
      </w:r>
      <w:r w:rsidR="00B46E84">
        <w:t xml:space="preserve"> </w:t>
      </w:r>
      <w:r w:rsidR="008A2DFE">
        <w:t>QCAT’s ability to perform its functions</w:t>
      </w:r>
      <w:r w:rsidR="00F153F5">
        <w:t xml:space="preserve"> in an accessible, economical and timely manner.</w:t>
      </w:r>
    </w:p>
    <w:p w14:paraId="5C0508F1" w14:textId="397E6A06" w:rsidR="004F45D1" w:rsidRDefault="006F18F6" w:rsidP="007A49A7">
      <w:pPr>
        <w:spacing w:before="120" w:after="120"/>
      </w:pPr>
      <w:r>
        <w:t xml:space="preserve">QAI’s </w:t>
      </w:r>
      <w:r w:rsidR="00092CF1">
        <w:t>Human Rights Advocacy Practice</w:t>
      </w:r>
      <w:r w:rsidR="00354653">
        <w:t xml:space="preserve"> provides legal advice</w:t>
      </w:r>
      <w:r w:rsidR="002A2710">
        <w:t>, assistance and representation for people with disability in the areas of guardianship and administration</w:t>
      </w:r>
      <w:r w:rsidR="00715D07">
        <w:t xml:space="preserve"> (including</w:t>
      </w:r>
      <w:r w:rsidR="002A2710">
        <w:t xml:space="preserve"> restrictive practices</w:t>
      </w:r>
      <w:r w:rsidR="00715D07">
        <w:t>)</w:t>
      </w:r>
      <w:r w:rsidR="002A2710">
        <w:t xml:space="preserve">, disability discrimination and human rights. </w:t>
      </w:r>
      <w:r w:rsidR="00A3087E">
        <w:t>This includes representing people with disability</w:t>
      </w:r>
      <w:r w:rsidR="00F30A3A">
        <w:t xml:space="preserve"> </w:t>
      </w:r>
      <w:r w:rsidR="00A36DA4">
        <w:t xml:space="preserve">at matters </w:t>
      </w:r>
      <w:r w:rsidR="00781C55">
        <w:t>before the Queensland Civil and Administrative Tribunal (</w:t>
      </w:r>
      <w:r w:rsidR="00781C55" w:rsidRPr="4EF91737">
        <w:rPr>
          <w:b/>
          <w:bCs/>
        </w:rPr>
        <w:t>QCAT</w:t>
      </w:r>
      <w:r w:rsidR="00781C55">
        <w:t>)</w:t>
      </w:r>
      <w:r w:rsidR="00F30A3A">
        <w:t>.</w:t>
      </w:r>
      <w:r w:rsidR="006B1E03">
        <w:t xml:space="preserve"> </w:t>
      </w:r>
      <w:r w:rsidR="004F45D1">
        <w:t>QAI presently receives funding from the Department of Justice to provide legal assistance to people with disability. This funding does not prescribe the type of assistance we must provide, and there is no dedicated funding t</w:t>
      </w:r>
      <w:r w:rsidR="005F464D">
        <w:t>hat requires us to</w:t>
      </w:r>
      <w:r w:rsidR="004F45D1">
        <w:t xml:space="preserve"> </w:t>
      </w:r>
      <w:r w:rsidR="00FD44F6">
        <w:t xml:space="preserve">provide legal representation for </w:t>
      </w:r>
      <w:r w:rsidR="004F45D1">
        <w:t>people with disability at matters before the QCAT</w:t>
      </w:r>
      <w:r w:rsidR="00D00E0B">
        <w:t xml:space="preserve">, or to </w:t>
      </w:r>
      <w:r w:rsidR="4EDB0EC2">
        <w:t>accept</w:t>
      </w:r>
      <w:r w:rsidR="00C1631B">
        <w:t xml:space="preserve"> appointments under section 125 of </w:t>
      </w:r>
      <w:r w:rsidR="004A3BB7">
        <w:t xml:space="preserve">the </w:t>
      </w:r>
      <w:r w:rsidR="004A3BB7" w:rsidRPr="00495780">
        <w:rPr>
          <w:i/>
          <w:iCs/>
        </w:rPr>
        <w:t>Guardianship and Administration Act 2000</w:t>
      </w:r>
      <w:r w:rsidR="004A3BB7">
        <w:t xml:space="preserve"> (Qld)</w:t>
      </w:r>
      <w:r w:rsidR="004A3BB7" w:rsidRPr="002D2B4B">
        <w:t xml:space="preserve"> </w:t>
      </w:r>
      <w:r w:rsidR="004A3BB7">
        <w:t>(</w:t>
      </w:r>
      <w:r w:rsidR="004A3BB7" w:rsidRPr="00495780">
        <w:rPr>
          <w:b/>
          <w:bCs/>
        </w:rPr>
        <w:t>GAA</w:t>
      </w:r>
      <w:r w:rsidR="004A3BB7">
        <w:t>)</w:t>
      </w:r>
      <w:r w:rsidR="004F45D1">
        <w:t xml:space="preserve">. </w:t>
      </w:r>
      <w:r w:rsidR="00747A03">
        <w:t>Working within a human rights framework, we</w:t>
      </w:r>
      <w:r w:rsidR="00747A03" w:rsidRPr="4EF91737">
        <w:rPr>
          <w:b/>
          <w:bCs/>
        </w:rPr>
        <w:t xml:space="preserve"> </w:t>
      </w:r>
      <w:r w:rsidR="00747A03">
        <w:t xml:space="preserve">provide legal information, advice, referral and representation for people with disability, prioritising persons with impaired capacity subject to restrictive practices, guardianship or administration proceedings or experiencing violence, abuse, neglect, exploitation or discrimination. Our current funding </w:t>
      </w:r>
      <w:r w:rsidR="004F45D1">
        <w:t xml:space="preserve">is sufficient for </w:t>
      </w:r>
      <w:r w:rsidR="00183A84">
        <w:t xml:space="preserve">4.7 </w:t>
      </w:r>
      <w:r w:rsidR="004F45D1">
        <w:t>full-time solicitor</w:t>
      </w:r>
      <w:r w:rsidR="00183A84">
        <w:t>s</w:t>
      </w:r>
      <w:r w:rsidR="004F45D1">
        <w:t xml:space="preserve">, as well as </w:t>
      </w:r>
      <w:r w:rsidR="00183A84">
        <w:t xml:space="preserve">1.3 </w:t>
      </w:r>
      <w:r w:rsidR="00F5161D">
        <w:t>full-time</w:t>
      </w:r>
      <w:r w:rsidR="00183A84">
        <w:t xml:space="preserve"> paralegals to provide </w:t>
      </w:r>
      <w:r w:rsidR="004F45D1">
        <w:t xml:space="preserve">administrative support. In addition, QAI also receives some funding from the </w:t>
      </w:r>
      <w:r w:rsidR="78C0CB85">
        <w:t>Queensland Public Trustee</w:t>
      </w:r>
      <w:r w:rsidR="6A729AC3">
        <w:t xml:space="preserve"> (</w:t>
      </w:r>
      <w:r w:rsidR="7118B402" w:rsidRPr="582DD415">
        <w:rPr>
          <w:b/>
          <w:bCs/>
        </w:rPr>
        <w:t>QPT</w:t>
      </w:r>
      <w:r w:rsidR="004F45D1">
        <w:t xml:space="preserve">) </w:t>
      </w:r>
      <w:r w:rsidR="007D0C36">
        <w:t xml:space="preserve">sufficient for a </w:t>
      </w:r>
      <w:r w:rsidR="00FA4502">
        <w:t xml:space="preserve">full-time solicitor and some part-time administrative support, </w:t>
      </w:r>
      <w:r w:rsidR="004F45D1">
        <w:t xml:space="preserve">to </w:t>
      </w:r>
      <w:proofErr w:type="gramStart"/>
      <w:r w:rsidR="004F45D1">
        <w:t>provide assistance to</w:t>
      </w:r>
      <w:proofErr w:type="gramEnd"/>
      <w:r w:rsidR="004F45D1">
        <w:t xml:space="preserve"> people under </w:t>
      </w:r>
      <w:r w:rsidR="6E8F895C">
        <w:t>administration</w:t>
      </w:r>
      <w:r w:rsidR="004F45D1">
        <w:t xml:space="preserve"> orders, which may include representation at administration matters before QCAT.</w:t>
      </w:r>
    </w:p>
    <w:p w14:paraId="05D1ABB7" w14:textId="5D90D068" w:rsidR="00AC3478" w:rsidRDefault="00A90D77" w:rsidP="007A49A7">
      <w:pPr>
        <w:spacing w:before="120" w:after="120"/>
      </w:pPr>
      <w:r>
        <w:t>B</w:t>
      </w:r>
      <w:r w:rsidR="00575310">
        <w:t xml:space="preserve">elow </w:t>
      </w:r>
      <w:r>
        <w:t xml:space="preserve">is </w:t>
      </w:r>
      <w:r w:rsidR="00575310">
        <w:t xml:space="preserve">a summary of QAI’s </w:t>
      </w:r>
      <w:r w:rsidR="007663C6">
        <w:t>assistance provided</w:t>
      </w:r>
      <w:r w:rsidR="00575310">
        <w:t xml:space="preserve"> </w:t>
      </w:r>
      <w:r w:rsidR="007663C6">
        <w:t>to people with disability interacting with guardianship and /or administration orders in</w:t>
      </w:r>
      <w:r w:rsidR="00575310">
        <w:t xml:space="preserve"> the past five financial years</w:t>
      </w:r>
      <w:r w:rsidR="002074FF">
        <w:t>:</w:t>
      </w:r>
    </w:p>
    <w:tbl>
      <w:tblPr>
        <w:tblW w:w="9072"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3261"/>
        <w:gridCol w:w="992"/>
        <w:gridCol w:w="992"/>
        <w:gridCol w:w="992"/>
        <w:gridCol w:w="993"/>
        <w:gridCol w:w="990"/>
        <w:gridCol w:w="852"/>
      </w:tblGrid>
      <w:tr w:rsidR="008E5E67" w:rsidRPr="00A213AE" w14:paraId="6DCDB445" w14:textId="77777777" w:rsidTr="0034204E">
        <w:trPr>
          <w:tblHeader/>
        </w:trPr>
        <w:tc>
          <w:tcPr>
            <w:tcW w:w="3261" w:type="dxa"/>
            <w:shd w:val="clear" w:color="auto" w:fill="401E6B"/>
            <w:tcMar>
              <w:top w:w="0" w:type="dxa"/>
              <w:left w:w="108" w:type="dxa"/>
              <w:bottom w:w="0" w:type="dxa"/>
              <w:right w:w="108" w:type="dxa"/>
            </w:tcMar>
          </w:tcPr>
          <w:p w14:paraId="45F32107" w14:textId="282037DF" w:rsidR="00A213AE" w:rsidRPr="007E5156" w:rsidRDefault="00F07A8B" w:rsidP="000475EA">
            <w:pPr>
              <w:rPr>
                <w:rFonts w:eastAsia="Calibri" w:cs="Aptos"/>
                <w:b/>
                <w:color w:val="FFFFFF" w:themeColor="background1"/>
                <w:sz w:val="22"/>
                <w:szCs w:val="22"/>
                <w14:ligatures w14:val="standardContextual"/>
              </w:rPr>
            </w:pPr>
            <w:r w:rsidRPr="007E5156">
              <w:rPr>
                <w:rFonts w:eastAsia="Calibri" w:cs="Aptos"/>
                <w:b/>
                <w:color w:val="FFFFFF" w:themeColor="background1"/>
                <w:sz w:val="22"/>
                <w:szCs w:val="22"/>
                <w14:ligatures w14:val="standardContextual"/>
              </w:rPr>
              <w:t>Guardianship and administration</w:t>
            </w:r>
          </w:p>
        </w:tc>
        <w:tc>
          <w:tcPr>
            <w:tcW w:w="992" w:type="dxa"/>
            <w:shd w:val="clear" w:color="auto" w:fill="401E6B"/>
            <w:tcMar>
              <w:top w:w="0" w:type="dxa"/>
              <w:left w:w="108" w:type="dxa"/>
              <w:bottom w:w="0" w:type="dxa"/>
              <w:right w:w="108" w:type="dxa"/>
            </w:tcMar>
            <w:hideMark/>
          </w:tcPr>
          <w:p w14:paraId="09C495D2" w14:textId="60B6FBBF" w:rsidR="00A213AE" w:rsidRPr="007E5156" w:rsidRDefault="00A213AE" w:rsidP="000475EA">
            <w:pPr>
              <w:rPr>
                <w:rFonts w:eastAsia="Calibri" w:cs="Aptos"/>
                <w:b/>
                <w:color w:val="FFFFFF" w:themeColor="background1"/>
                <w:sz w:val="22"/>
                <w:szCs w:val="22"/>
                <w14:ligatures w14:val="standardContextual"/>
              </w:rPr>
            </w:pPr>
            <w:r w:rsidRPr="007E5156">
              <w:rPr>
                <w:rFonts w:eastAsia="Calibri" w:cs="Aptos"/>
                <w:b/>
                <w:color w:val="FFFFFF" w:themeColor="background1"/>
                <w:sz w:val="22"/>
                <w:szCs w:val="22"/>
                <w14:ligatures w14:val="standardContextual"/>
              </w:rPr>
              <w:t>FY 2021</w:t>
            </w:r>
          </w:p>
        </w:tc>
        <w:tc>
          <w:tcPr>
            <w:tcW w:w="992" w:type="dxa"/>
            <w:shd w:val="clear" w:color="auto" w:fill="401E6B"/>
            <w:tcMar>
              <w:top w:w="0" w:type="dxa"/>
              <w:left w:w="108" w:type="dxa"/>
              <w:bottom w:w="0" w:type="dxa"/>
              <w:right w:w="108" w:type="dxa"/>
            </w:tcMar>
            <w:hideMark/>
          </w:tcPr>
          <w:p w14:paraId="55B44ABE" w14:textId="6073A5EE" w:rsidR="00A213AE" w:rsidRPr="007E5156" w:rsidRDefault="00A213AE" w:rsidP="000475EA">
            <w:pPr>
              <w:rPr>
                <w:rFonts w:eastAsia="Calibri" w:cs="Aptos"/>
                <w:b/>
                <w:color w:val="FFFFFF" w:themeColor="background1"/>
                <w:sz w:val="22"/>
                <w:szCs w:val="22"/>
                <w14:ligatures w14:val="standardContextual"/>
              </w:rPr>
            </w:pPr>
            <w:r w:rsidRPr="007E5156">
              <w:rPr>
                <w:rFonts w:eastAsia="Calibri" w:cs="Aptos"/>
                <w:b/>
                <w:color w:val="FFFFFF" w:themeColor="background1"/>
                <w:sz w:val="22"/>
                <w:szCs w:val="22"/>
                <w14:ligatures w14:val="standardContextual"/>
              </w:rPr>
              <w:t>FY 2022</w:t>
            </w:r>
          </w:p>
        </w:tc>
        <w:tc>
          <w:tcPr>
            <w:tcW w:w="992" w:type="dxa"/>
            <w:shd w:val="clear" w:color="auto" w:fill="401E6B"/>
            <w:tcMar>
              <w:top w:w="0" w:type="dxa"/>
              <w:left w:w="108" w:type="dxa"/>
              <w:bottom w:w="0" w:type="dxa"/>
              <w:right w:w="108" w:type="dxa"/>
            </w:tcMar>
            <w:hideMark/>
          </w:tcPr>
          <w:p w14:paraId="00A4305F" w14:textId="3CF421DE" w:rsidR="00A213AE" w:rsidRPr="007E5156" w:rsidRDefault="00A213AE" w:rsidP="000475EA">
            <w:pPr>
              <w:rPr>
                <w:rFonts w:eastAsia="Calibri" w:cs="Aptos"/>
                <w:b/>
                <w:color w:val="FFFFFF" w:themeColor="background1"/>
                <w:sz w:val="22"/>
                <w:szCs w:val="22"/>
                <w14:ligatures w14:val="standardContextual"/>
              </w:rPr>
            </w:pPr>
            <w:r w:rsidRPr="007E5156">
              <w:rPr>
                <w:rFonts w:eastAsia="Calibri" w:cs="Aptos"/>
                <w:b/>
                <w:color w:val="FFFFFF" w:themeColor="background1"/>
                <w:sz w:val="22"/>
                <w:szCs w:val="22"/>
                <w14:ligatures w14:val="standardContextual"/>
              </w:rPr>
              <w:t>FY 2023</w:t>
            </w:r>
          </w:p>
        </w:tc>
        <w:tc>
          <w:tcPr>
            <w:tcW w:w="993" w:type="dxa"/>
            <w:shd w:val="clear" w:color="auto" w:fill="401E6B"/>
            <w:tcMar>
              <w:top w:w="0" w:type="dxa"/>
              <w:left w:w="108" w:type="dxa"/>
              <w:bottom w:w="0" w:type="dxa"/>
              <w:right w:w="108" w:type="dxa"/>
            </w:tcMar>
            <w:hideMark/>
          </w:tcPr>
          <w:p w14:paraId="35E05BB8" w14:textId="0A0FCE07" w:rsidR="00A213AE" w:rsidRPr="007E5156" w:rsidRDefault="00A213AE" w:rsidP="000475EA">
            <w:pPr>
              <w:rPr>
                <w:rFonts w:eastAsia="Calibri" w:cs="Aptos"/>
                <w:b/>
                <w:color w:val="FFFFFF" w:themeColor="background1"/>
                <w:sz w:val="22"/>
                <w:szCs w:val="22"/>
                <w14:ligatures w14:val="standardContextual"/>
              </w:rPr>
            </w:pPr>
            <w:r w:rsidRPr="007E5156">
              <w:rPr>
                <w:rFonts w:eastAsia="Calibri" w:cs="Aptos"/>
                <w:b/>
                <w:color w:val="FFFFFF" w:themeColor="background1"/>
                <w:sz w:val="22"/>
                <w:szCs w:val="22"/>
                <w14:ligatures w14:val="standardContextual"/>
              </w:rPr>
              <w:t>FY 2024</w:t>
            </w:r>
          </w:p>
        </w:tc>
        <w:tc>
          <w:tcPr>
            <w:tcW w:w="990" w:type="dxa"/>
            <w:shd w:val="clear" w:color="auto" w:fill="401E6B"/>
            <w:tcMar>
              <w:top w:w="0" w:type="dxa"/>
              <w:left w:w="108" w:type="dxa"/>
              <w:bottom w:w="0" w:type="dxa"/>
              <w:right w:w="108" w:type="dxa"/>
            </w:tcMar>
            <w:hideMark/>
          </w:tcPr>
          <w:p w14:paraId="7B2B65F4" w14:textId="0CEFA8AA" w:rsidR="00A213AE" w:rsidRPr="007E5156" w:rsidRDefault="00A213AE" w:rsidP="000475EA">
            <w:pPr>
              <w:rPr>
                <w:rFonts w:eastAsia="Calibri" w:cs="Aptos"/>
                <w:b/>
                <w:color w:val="FFFFFF" w:themeColor="background1"/>
                <w:sz w:val="22"/>
                <w:szCs w:val="22"/>
                <w14:ligatures w14:val="standardContextual"/>
              </w:rPr>
            </w:pPr>
            <w:r w:rsidRPr="007E5156">
              <w:rPr>
                <w:rFonts w:eastAsia="Calibri" w:cs="Aptos"/>
                <w:b/>
                <w:color w:val="FFFFFF" w:themeColor="background1"/>
                <w:sz w:val="22"/>
                <w:szCs w:val="22"/>
                <w14:ligatures w14:val="standardContextual"/>
              </w:rPr>
              <w:t>FY 2025</w:t>
            </w:r>
          </w:p>
        </w:tc>
        <w:tc>
          <w:tcPr>
            <w:tcW w:w="852" w:type="dxa"/>
            <w:shd w:val="clear" w:color="auto" w:fill="401E6B"/>
            <w:tcMar>
              <w:top w:w="0" w:type="dxa"/>
              <w:left w:w="108" w:type="dxa"/>
              <w:bottom w:w="0" w:type="dxa"/>
              <w:right w:w="108" w:type="dxa"/>
            </w:tcMar>
            <w:hideMark/>
          </w:tcPr>
          <w:p w14:paraId="4AF32B37" w14:textId="77777777" w:rsidR="00A213AE" w:rsidRPr="007E5156" w:rsidRDefault="00A213AE" w:rsidP="000475EA">
            <w:pPr>
              <w:rPr>
                <w:rFonts w:eastAsia="Calibri" w:cs="Aptos"/>
                <w:b/>
                <w:color w:val="FFFFFF" w:themeColor="background1"/>
                <w:sz w:val="22"/>
                <w:szCs w:val="22"/>
                <w14:ligatures w14:val="standardContextual"/>
              </w:rPr>
            </w:pPr>
            <w:r w:rsidRPr="007E5156">
              <w:rPr>
                <w:rFonts w:eastAsia="Calibri" w:cs="Aptos"/>
                <w:b/>
                <w:color w:val="FFFFFF" w:themeColor="background1"/>
                <w:sz w:val="22"/>
                <w:szCs w:val="22"/>
                <w14:ligatures w14:val="standardContextual"/>
              </w:rPr>
              <w:t>TOTAL</w:t>
            </w:r>
          </w:p>
        </w:tc>
      </w:tr>
      <w:tr w:rsidR="008E5E67" w:rsidRPr="00A213AE" w14:paraId="6772210D" w14:textId="77777777" w:rsidTr="0034204E">
        <w:tc>
          <w:tcPr>
            <w:tcW w:w="3261" w:type="dxa"/>
            <w:tcMar>
              <w:top w:w="0" w:type="dxa"/>
              <w:left w:w="108" w:type="dxa"/>
              <w:bottom w:w="0" w:type="dxa"/>
              <w:right w:w="108" w:type="dxa"/>
            </w:tcMar>
            <w:hideMark/>
          </w:tcPr>
          <w:p w14:paraId="0789AC5D" w14:textId="7E6B94C5" w:rsidR="00A213AE" w:rsidRPr="004A1392" w:rsidRDefault="00A213AE" w:rsidP="000475EA">
            <w:pPr>
              <w:rPr>
                <w:rFonts w:eastAsia="Calibri" w:cs="Aptos"/>
                <w:sz w:val="22"/>
                <w:szCs w:val="22"/>
                <w14:ligatures w14:val="standardContextual"/>
              </w:rPr>
            </w:pPr>
            <w:r w:rsidRPr="004A1392">
              <w:rPr>
                <w:rFonts w:eastAsia="Calibri" w:cs="Aptos"/>
                <w:sz w:val="22"/>
                <w:szCs w:val="22"/>
                <w14:ligatures w14:val="standardContextual"/>
              </w:rPr>
              <w:t>QCAT Representations</w:t>
            </w:r>
            <w:r w:rsidR="004C7197" w:rsidRPr="004A1392">
              <w:rPr>
                <w:rStyle w:val="FootnoteReference"/>
                <w:rFonts w:eastAsia="Calibri" w:cs="Aptos"/>
                <w:sz w:val="22"/>
                <w:szCs w:val="22"/>
                <w14:ligatures w14:val="standardContextual"/>
              </w:rPr>
              <w:footnoteReference w:id="6"/>
            </w:r>
          </w:p>
        </w:tc>
        <w:tc>
          <w:tcPr>
            <w:tcW w:w="992" w:type="dxa"/>
            <w:tcMar>
              <w:top w:w="0" w:type="dxa"/>
              <w:left w:w="108" w:type="dxa"/>
              <w:bottom w:w="0" w:type="dxa"/>
              <w:right w:w="108" w:type="dxa"/>
            </w:tcMar>
            <w:hideMark/>
          </w:tcPr>
          <w:p w14:paraId="48F936CF" w14:textId="4EA62520" w:rsidR="00A213AE" w:rsidRPr="00AC3478" w:rsidRDefault="00A213AE" w:rsidP="000475EA">
            <w:pPr>
              <w:jc w:val="center"/>
              <w:rPr>
                <w:rFonts w:eastAsia="Calibri" w:cs="Aptos"/>
                <w:sz w:val="22"/>
                <w:szCs w:val="22"/>
                <w14:ligatures w14:val="standardContextual"/>
              </w:rPr>
            </w:pPr>
            <w:r w:rsidRPr="00AC3478">
              <w:rPr>
                <w:rFonts w:eastAsia="Calibri" w:cs="Aptos"/>
                <w:sz w:val="22"/>
                <w:szCs w:val="22"/>
                <w14:ligatures w14:val="standardContextual"/>
              </w:rPr>
              <w:t>1</w:t>
            </w:r>
            <w:r w:rsidR="007C2A32">
              <w:rPr>
                <w:rFonts w:eastAsia="Calibri" w:cs="Aptos"/>
                <w:sz w:val="22"/>
                <w:szCs w:val="22"/>
                <w14:ligatures w14:val="standardContextual"/>
              </w:rPr>
              <w:t>0</w:t>
            </w:r>
          </w:p>
        </w:tc>
        <w:tc>
          <w:tcPr>
            <w:tcW w:w="992" w:type="dxa"/>
            <w:tcMar>
              <w:top w:w="0" w:type="dxa"/>
              <w:left w:w="108" w:type="dxa"/>
              <w:bottom w:w="0" w:type="dxa"/>
              <w:right w:w="108" w:type="dxa"/>
            </w:tcMar>
            <w:hideMark/>
          </w:tcPr>
          <w:p w14:paraId="1BB8739A" w14:textId="3495F0B8" w:rsidR="00A213AE" w:rsidRPr="00AC3478" w:rsidRDefault="00FA7262" w:rsidP="000475EA">
            <w:pPr>
              <w:jc w:val="center"/>
              <w:rPr>
                <w:rFonts w:eastAsia="Calibri" w:cs="Aptos"/>
                <w:sz w:val="22"/>
                <w:szCs w:val="22"/>
                <w14:ligatures w14:val="standardContextual"/>
              </w:rPr>
            </w:pPr>
            <w:r>
              <w:rPr>
                <w:rFonts w:eastAsia="Calibri" w:cs="Aptos"/>
                <w:sz w:val="22"/>
                <w:szCs w:val="22"/>
                <w14:ligatures w14:val="standardContextual"/>
              </w:rPr>
              <w:t>5</w:t>
            </w:r>
          </w:p>
        </w:tc>
        <w:tc>
          <w:tcPr>
            <w:tcW w:w="992" w:type="dxa"/>
            <w:tcMar>
              <w:top w:w="0" w:type="dxa"/>
              <w:left w:w="108" w:type="dxa"/>
              <w:bottom w:w="0" w:type="dxa"/>
              <w:right w:w="108" w:type="dxa"/>
            </w:tcMar>
            <w:hideMark/>
          </w:tcPr>
          <w:p w14:paraId="0E378A9A" w14:textId="6B71867C" w:rsidR="00A213AE" w:rsidRPr="00AC3478" w:rsidRDefault="00FA7262" w:rsidP="000475EA">
            <w:pPr>
              <w:jc w:val="center"/>
              <w:rPr>
                <w:rFonts w:eastAsia="Calibri" w:cs="Aptos"/>
                <w:sz w:val="22"/>
                <w:szCs w:val="22"/>
                <w14:ligatures w14:val="standardContextual"/>
              </w:rPr>
            </w:pPr>
            <w:r>
              <w:rPr>
                <w:rFonts w:eastAsia="Calibri" w:cs="Aptos"/>
                <w:sz w:val="22"/>
                <w:szCs w:val="22"/>
                <w14:ligatures w14:val="standardContextual"/>
              </w:rPr>
              <w:t>5</w:t>
            </w:r>
          </w:p>
        </w:tc>
        <w:tc>
          <w:tcPr>
            <w:tcW w:w="993" w:type="dxa"/>
            <w:tcMar>
              <w:top w:w="0" w:type="dxa"/>
              <w:left w:w="108" w:type="dxa"/>
              <w:bottom w:w="0" w:type="dxa"/>
              <w:right w:w="108" w:type="dxa"/>
            </w:tcMar>
            <w:hideMark/>
          </w:tcPr>
          <w:p w14:paraId="03CCFD81" w14:textId="125C2D92" w:rsidR="00A213AE" w:rsidRPr="00AC3478" w:rsidRDefault="00FA7262" w:rsidP="000475EA">
            <w:pPr>
              <w:jc w:val="center"/>
              <w:rPr>
                <w:rFonts w:eastAsia="Calibri" w:cs="Aptos"/>
                <w:sz w:val="22"/>
                <w:szCs w:val="22"/>
                <w14:ligatures w14:val="standardContextual"/>
              </w:rPr>
            </w:pPr>
            <w:r>
              <w:rPr>
                <w:rFonts w:eastAsia="Calibri" w:cs="Aptos"/>
                <w:sz w:val="22"/>
                <w:szCs w:val="22"/>
                <w14:ligatures w14:val="standardContextual"/>
              </w:rPr>
              <w:t>15</w:t>
            </w:r>
          </w:p>
        </w:tc>
        <w:tc>
          <w:tcPr>
            <w:tcW w:w="990" w:type="dxa"/>
            <w:tcMar>
              <w:top w:w="0" w:type="dxa"/>
              <w:left w:w="108" w:type="dxa"/>
              <w:bottom w:w="0" w:type="dxa"/>
              <w:right w:w="108" w:type="dxa"/>
            </w:tcMar>
            <w:hideMark/>
          </w:tcPr>
          <w:p w14:paraId="6A26033F" w14:textId="22213F8F" w:rsidR="00A213AE" w:rsidRPr="00AC3478" w:rsidRDefault="00A213AE" w:rsidP="000475EA">
            <w:pPr>
              <w:jc w:val="center"/>
              <w:rPr>
                <w:rFonts w:eastAsia="Calibri" w:cs="Aptos"/>
                <w:sz w:val="22"/>
                <w:szCs w:val="22"/>
                <w14:ligatures w14:val="standardContextual"/>
              </w:rPr>
            </w:pPr>
            <w:r w:rsidRPr="00AC3478">
              <w:rPr>
                <w:rFonts w:eastAsia="Calibri" w:cs="Aptos"/>
                <w:sz w:val="22"/>
                <w:szCs w:val="22"/>
                <w14:ligatures w14:val="standardContextual"/>
              </w:rPr>
              <w:t>2</w:t>
            </w:r>
            <w:r w:rsidR="00FA7262">
              <w:rPr>
                <w:rFonts w:eastAsia="Calibri" w:cs="Aptos"/>
                <w:sz w:val="22"/>
                <w:szCs w:val="22"/>
                <w14:ligatures w14:val="standardContextual"/>
              </w:rPr>
              <w:t>3</w:t>
            </w:r>
          </w:p>
        </w:tc>
        <w:tc>
          <w:tcPr>
            <w:tcW w:w="852" w:type="dxa"/>
            <w:tcMar>
              <w:top w:w="0" w:type="dxa"/>
              <w:left w:w="108" w:type="dxa"/>
              <w:bottom w:w="0" w:type="dxa"/>
              <w:right w:w="108" w:type="dxa"/>
            </w:tcMar>
            <w:hideMark/>
          </w:tcPr>
          <w:p w14:paraId="4F57695E" w14:textId="0C98ED5D" w:rsidR="00A213AE" w:rsidRPr="00AC3478" w:rsidRDefault="00FA7262" w:rsidP="000475EA">
            <w:pPr>
              <w:jc w:val="center"/>
              <w:rPr>
                <w:rFonts w:eastAsia="Calibri" w:cs="Aptos"/>
                <w:sz w:val="22"/>
                <w:szCs w:val="22"/>
                <w14:ligatures w14:val="standardContextual"/>
              </w:rPr>
            </w:pPr>
            <w:r>
              <w:rPr>
                <w:rFonts w:eastAsia="Calibri" w:cs="Aptos"/>
                <w:sz w:val="22"/>
                <w:szCs w:val="22"/>
                <w14:ligatures w14:val="standardContextual"/>
              </w:rPr>
              <w:t>65</w:t>
            </w:r>
          </w:p>
        </w:tc>
      </w:tr>
      <w:tr w:rsidR="008E5E67" w:rsidRPr="00A213AE" w14:paraId="65B61ED8" w14:textId="77777777" w:rsidTr="0034204E">
        <w:tc>
          <w:tcPr>
            <w:tcW w:w="3261" w:type="dxa"/>
            <w:tcMar>
              <w:top w:w="0" w:type="dxa"/>
              <w:left w:w="108" w:type="dxa"/>
              <w:bottom w:w="0" w:type="dxa"/>
              <w:right w:w="108" w:type="dxa"/>
            </w:tcMar>
            <w:hideMark/>
          </w:tcPr>
          <w:p w14:paraId="206ACAC3" w14:textId="041783A2" w:rsidR="00A213AE" w:rsidRPr="004A1392" w:rsidRDefault="00A213AE" w:rsidP="000475EA">
            <w:pPr>
              <w:rPr>
                <w:rFonts w:eastAsia="Calibri" w:cs="Aptos"/>
                <w:sz w:val="22"/>
                <w:szCs w:val="22"/>
                <w14:ligatures w14:val="standardContextual"/>
              </w:rPr>
            </w:pPr>
            <w:r w:rsidRPr="004A1392">
              <w:rPr>
                <w:rFonts w:eastAsia="Calibri" w:cs="Aptos"/>
                <w:sz w:val="22"/>
                <w:szCs w:val="22"/>
                <w14:ligatures w14:val="standardContextual"/>
              </w:rPr>
              <w:lastRenderedPageBreak/>
              <w:t>Legal Advice</w:t>
            </w:r>
            <w:r w:rsidR="000B622C" w:rsidRPr="004A1392">
              <w:rPr>
                <w:rStyle w:val="FootnoteReference"/>
                <w:rFonts w:eastAsia="Calibri" w:cs="Aptos"/>
                <w:sz w:val="22"/>
                <w:szCs w:val="22"/>
                <w14:ligatures w14:val="standardContextual"/>
              </w:rPr>
              <w:footnoteReference w:id="7"/>
            </w:r>
          </w:p>
        </w:tc>
        <w:tc>
          <w:tcPr>
            <w:tcW w:w="992" w:type="dxa"/>
            <w:tcMar>
              <w:top w:w="0" w:type="dxa"/>
              <w:left w:w="108" w:type="dxa"/>
              <w:bottom w:w="0" w:type="dxa"/>
              <w:right w:w="108" w:type="dxa"/>
            </w:tcMar>
            <w:hideMark/>
          </w:tcPr>
          <w:p w14:paraId="3752BD30" w14:textId="77777777" w:rsidR="00A213AE" w:rsidRPr="00AC3478" w:rsidRDefault="00A213AE" w:rsidP="000475EA">
            <w:pPr>
              <w:jc w:val="center"/>
              <w:rPr>
                <w:rFonts w:eastAsia="Calibri" w:cs="Aptos"/>
                <w:sz w:val="22"/>
                <w:szCs w:val="22"/>
                <w14:ligatures w14:val="standardContextual"/>
              </w:rPr>
            </w:pPr>
            <w:r w:rsidRPr="00AC3478">
              <w:rPr>
                <w:rFonts w:eastAsia="Calibri" w:cs="Aptos"/>
                <w:sz w:val="22"/>
                <w:szCs w:val="22"/>
                <w14:ligatures w14:val="standardContextual"/>
              </w:rPr>
              <w:t>100</w:t>
            </w:r>
          </w:p>
        </w:tc>
        <w:tc>
          <w:tcPr>
            <w:tcW w:w="992" w:type="dxa"/>
            <w:tcMar>
              <w:top w:w="0" w:type="dxa"/>
              <w:left w:w="108" w:type="dxa"/>
              <w:bottom w:w="0" w:type="dxa"/>
              <w:right w:w="108" w:type="dxa"/>
            </w:tcMar>
            <w:hideMark/>
          </w:tcPr>
          <w:p w14:paraId="7C30AEA7" w14:textId="77777777" w:rsidR="00A213AE" w:rsidRPr="00AC3478" w:rsidRDefault="00A213AE" w:rsidP="000475EA">
            <w:pPr>
              <w:jc w:val="center"/>
              <w:rPr>
                <w:rFonts w:eastAsia="Calibri" w:cs="Aptos"/>
                <w:sz w:val="22"/>
                <w:szCs w:val="22"/>
                <w14:ligatures w14:val="standardContextual"/>
              </w:rPr>
            </w:pPr>
            <w:r w:rsidRPr="00AC3478">
              <w:rPr>
                <w:rFonts w:eastAsia="Calibri" w:cs="Aptos"/>
                <w:sz w:val="22"/>
                <w:szCs w:val="22"/>
                <w14:ligatures w14:val="standardContextual"/>
              </w:rPr>
              <w:t>119</w:t>
            </w:r>
          </w:p>
        </w:tc>
        <w:tc>
          <w:tcPr>
            <w:tcW w:w="992" w:type="dxa"/>
            <w:tcMar>
              <w:top w:w="0" w:type="dxa"/>
              <w:left w:w="108" w:type="dxa"/>
              <w:bottom w:w="0" w:type="dxa"/>
              <w:right w:w="108" w:type="dxa"/>
            </w:tcMar>
            <w:hideMark/>
          </w:tcPr>
          <w:p w14:paraId="72A94329" w14:textId="77777777" w:rsidR="00A213AE" w:rsidRPr="00AC3478" w:rsidRDefault="00A213AE" w:rsidP="000475EA">
            <w:pPr>
              <w:jc w:val="center"/>
              <w:rPr>
                <w:rFonts w:eastAsia="Calibri" w:cs="Aptos"/>
                <w:sz w:val="22"/>
                <w:szCs w:val="22"/>
                <w14:ligatures w14:val="standardContextual"/>
              </w:rPr>
            </w:pPr>
            <w:r w:rsidRPr="00AC3478">
              <w:rPr>
                <w:rFonts w:eastAsia="Calibri" w:cs="Aptos"/>
                <w:sz w:val="22"/>
                <w:szCs w:val="22"/>
                <w14:ligatures w14:val="standardContextual"/>
              </w:rPr>
              <w:t>125</w:t>
            </w:r>
          </w:p>
        </w:tc>
        <w:tc>
          <w:tcPr>
            <w:tcW w:w="993" w:type="dxa"/>
            <w:tcMar>
              <w:top w:w="0" w:type="dxa"/>
              <w:left w:w="108" w:type="dxa"/>
              <w:bottom w:w="0" w:type="dxa"/>
              <w:right w:w="108" w:type="dxa"/>
            </w:tcMar>
            <w:hideMark/>
          </w:tcPr>
          <w:p w14:paraId="62827DE5" w14:textId="77777777" w:rsidR="00A213AE" w:rsidRPr="00AC3478" w:rsidRDefault="00A213AE" w:rsidP="000475EA">
            <w:pPr>
              <w:jc w:val="center"/>
              <w:rPr>
                <w:rFonts w:eastAsia="Calibri" w:cs="Aptos"/>
                <w:sz w:val="22"/>
                <w:szCs w:val="22"/>
                <w14:ligatures w14:val="standardContextual"/>
              </w:rPr>
            </w:pPr>
            <w:r w:rsidRPr="00AC3478">
              <w:rPr>
                <w:rFonts w:eastAsia="Calibri" w:cs="Aptos"/>
                <w:sz w:val="22"/>
                <w:szCs w:val="22"/>
                <w14:ligatures w14:val="standardContextual"/>
              </w:rPr>
              <w:t>154</w:t>
            </w:r>
          </w:p>
        </w:tc>
        <w:tc>
          <w:tcPr>
            <w:tcW w:w="990" w:type="dxa"/>
            <w:tcMar>
              <w:top w:w="0" w:type="dxa"/>
              <w:left w:w="108" w:type="dxa"/>
              <w:bottom w:w="0" w:type="dxa"/>
              <w:right w:w="108" w:type="dxa"/>
            </w:tcMar>
            <w:hideMark/>
          </w:tcPr>
          <w:p w14:paraId="432499BA" w14:textId="77777777" w:rsidR="00A213AE" w:rsidRPr="00AC3478" w:rsidRDefault="00A213AE" w:rsidP="000475EA">
            <w:pPr>
              <w:jc w:val="center"/>
              <w:rPr>
                <w:rFonts w:eastAsia="Calibri" w:cs="Aptos"/>
                <w:sz w:val="22"/>
                <w:szCs w:val="22"/>
                <w14:ligatures w14:val="standardContextual"/>
              </w:rPr>
            </w:pPr>
            <w:r w:rsidRPr="00AC3478">
              <w:rPr>
                <w:rFonts w:eastAsia="Calibri" w:cs="Aptos"/>
                <w:sz w:val="22"/>
                <w:szCs w:val="22"/>
                <w14:ligatures w14:val="standardContextual"/>
              </w:rPr>
              <w:t>191</w:t>
            </w:r>
          </w:p>
        </w:tc>
        <w:tc>
          <w:tcPr>
            <w:tcW w:w="852" w:type="dxa"/>
            <w:tcMar>
              <w:top w:w="0" w:type="dxa"/>
              <w:left w:w="108" w:type="dxa"/>
              <w:bottom w:w="0" w:type="dxa"/>
              <w:right w:w="108" w:type="dxa"/>
            </w:tcMar>
            <w:hideMark/>
          </w:tcPr>
          <w:p w14:paraId="6E2A3EBF" w14:textId="77777777" w:rsidR="00A213AE" w:rsidRPr="00AC3478" w:rsidRDefault="00A213AE" w:rsidP="000475EA">
            <w:pPr>
              <w:jc w:val="center"/>
              <w:rPr>
                <w:rFonts w:eastAsia="Calibri" w:cs="Aptos"/>
                <w:sz w:val="22"/>
                <w:szCs w:val="22"/>
                <w14:ligatures w14:val="standardContextual"/>
              </w:rPr>
            </w:pPr>
            <w:r w:rsidRPr="00AC3478">
              <w:rPr>
                <w:rFonts w:eastAsia="Calibri" w:cs="Aptos"/>
                <w:sz w:val="22"/>
                <w:szCs w:val="22"/>
                <w14:ligatures w14:val="standardContextual"/>
              </w:rPr>
              <w:t>767</w:t>
            </w:r>
          </w:p>
        </w:tc>
      </w:tr>
      <w:tr w:rsidR="008E5E67" w:rsidRPr="00A213AE" w14:paraId="4B1B426A" w14:textId="77777777" w:rsidTr="0034204E">
        <w:tc>
          <w:tcPr>
            <w:tcW w:w="3261" w:type="dxa"/>
            <w:tcMar>
              <w:top w:w="0" w:type="dxa"/>
              <w:left w:w="108" w:type="dxa"/>
              <w:bottom w:w="0" w:type="dxa"/>
              <w:right w:w="108" w:type="dxa"/>
            </w:tcMar>
            <w:hideMark/>
          </w:tcPr>
          <w:p w14:paraId="17907C66" w14:textId="3086F034" w:rsidR="00A213AE" w:rsidRPr="004A1392" w:rsidRDefault="00A213AE" w:rsidP="000475EA">
            <w:pPr>
              <w:rPr>
                <w:rFonts w:eastAsia="Calibri" w:cs="Aptos"/>
                <w:sz w:val="22"/>
                <w:szCs w:val="22"/>
                <w14:ligatures w14:val="standardContextual"/>
              </w:rPr>
            </w:pPr>
            <w:r w:rsidRPr="004A1392">
              <w:rPr>
                <w:rFonts w:eastAsia="Calibri" w:cs="Aptos"/>
                <w:sz w:val="22"/>
                <w:szCs w:val="22"/>
                <w14:ligatures w14:val="standardContextual"/>
              </w:rPr>
              <w:t>Info</w:t>
            </w:r>
            <w:r w:rsidR="00E10F3F" w:rsidRPr="004A1392">
              <w:rPr>
                <w:rFonts w:eastAsia="Calibri" w:cs="Aptos"/>
                <w:sz w:val="22"/>
                <w:szCs w:val="22"/>
                <w14:ligatures w14:val="standardContextual"/>
              </w:rPr>
              <w:t>rmation</w:t>
            </w:r>
            <w:r w:rsidRPr="004A1392">
              <w:rPr>
                <w:rFonts w:eastAsia="Calibri" w:cs="Aptos"/>
                <w:sz w:val="22"/>
                <w:szCs w:val="22"/>
                <w14:ligatures w14:val="standardContextual"/>
              </w:rPr>
              <w:t xml:space="preserve"> &amp; Referral</w:t>
            </w:r>
            <w:r w:rsidRPr="004A1392">
              <w:rPr>
                <w:rStyle w:val="FootnoteReference"/>
                <w:sz w:val="22"/>
                <w:szCs w:val="22"/>
              </w:rPr>
              <w:footnoteReference w:id="8"/>
            </w:r>
          </w:p>
        </w:tc>
        <w:tc>
          <w:tcPr>
            <w:tcW w:w="992" w:type="dxa"/>
            <w:tcMar>
              <w:top w:w="0" w:type="dxa"/>
              <w:left w:w="108" w:type="dxa"/>
              <w:bottom w:w="0" w:type="dxa"/>
              <w:right w:w="108" w:type="dxa"/>
            </w:tcMar>
            <w:hideMark/>
          </w:tcPr>
          <w:p w14:paraId="4E577C8E" w14:textId="76094CFB" w:rsidR="00A213AE" w:rsidRPr="00AC3478" w:rsidRDefault="00D17F31" w:rsidP="000475EA">
            <w:pPr>
              <w:jc w:val="center"/>
              <w:rPr>
                <w:rFonts w:eastAsia="Calibri" w:cs="Aptos"/>
                <w:sz w:val="22"/>
                <w:szCs w:val="22"/>
                <w14:ligatures w14:val="standardContextual"/>
              </w:rPr>
            </w:pPr>
            <w:r>
              <w:rPr>
                <w:rFonts w:eastAsia="Calibri" w:cs="Aptos"/>
                <w:sz w:val="22"/>
                <w:szCs w:val="22"/>
                <w14:ligatures w14:val="standardContextual"/>
              </w:rPr>
              <w:t>141</w:t>
            </w:r>
          </w:p>
        </w:tc>
        <w:tc>
          <w:tcPr>
            <w:tcW w:w="992" w:type="dxa"/>
            <w:tcMar>
              <w:top w:w="0" w:type="dxa"/>
              <w:left w:w="108" w:type="dxa"/>
              <w:bottom w:w="0" w:type="dxa"/>
              <w:right w:w="108" w:type="dxa"/>
            </w:tcMar>
            <w:hideMark/>
          </w:tcPr>
          <w:p w14:paraId="0D5245DB" w14:textId="68BC3010" w:rsidR="00A213AE" w:rsidRPr="00AC3478" w:rsidRDefault="00FA7262" w:rsidP="000475EA">
            <w:pPr>
              <w:jc w:val="center"/>
              <w:rPr>
                <w:rFonts w:eastAsia="Calibri" w:cs="Aptos"/>
                <w:sz w:val="22"/>
                <w:szCs w:val="22"/>
                <w14:ligatures w14:val="standardContextual"/>
              </w:rPr>
            </w:pPr>
            <w:r>
              <w:rPr>
                <w:rFonts w:eastAsia="Calibri" w:cs="Aptos"/>
                <w:sz w:val="22"/>
                <w:szCs w:val="22"/>
                <w14:ligatures w14:val="standardContextual"/>
              </w:rPr>
              <w:t>1</w:t>
            </w:r>
            <w:r w:rsidR="00D17F31">
              <w:rPr>
                <w:rFonts w:eastAsia="Calibri" w:cs="Aptos"/>
                <w:sz w:val="22"/>
                <w:szCs w:val="22"/>
                <w14:ligatures w14:val="standardContextual"/>
              </w:rPr>
              <w:t>52</w:t>
            </w:r>
          </w:p>
        </w:tc>
        <w:tc>
          <w:tcPr>
            <w:tcW w:w="992" w:type="dxa"/>
            <w:tcMar>
              <w:top w:w="0" w:type="dxa"/>
              <w:left w:w="108" w:type="dxa"/>
              <w:bottom w:w="0" w:type="dxa"/>
              <w:right w:w="108" w:type="dxa"/>
            </w:tcMar>
            <w:hideMark/>
          </w:tcPr>
          <w:p w14:paraId="284E961C" w14:textId="2253DB3A" w:rsidR="00A213AE" w:rsidRPr="00AC3478" w:rsidRDefault="00FA7262" w:rsidP="000475EA">
            <w:pPr>
              <w:jc w:val="center"/>
              <w:rPr>
                <w:rFonts w:eastAsia="Calibri" w:cs="Aptos"/>
                <w:sz w:val="22"/>
                <w:szCs w:val="22"/>
                <w14:ligatures w14:val="standardContextual"/>
              </w:rPr>
            </w:pPr>
            <w:r>
              <w:rPr>
                <w:rFonts w:eastAsia="Calibri" w:cs="Aptos"/>
                <w:sz w:val="22"/>
                <w:szCs w:val="22"/>
                <w14:ligatures w14:val="standardContextual"/>
              </w:rPr>
              <w:t>15</w:t>
            </w:r>
            <w:r w:rsidR="00D17F31">
              <w:rPr>
                <w:rFonts w:eastAsia="Calibri" w:cs="Aptos"/>
                <w:sz w:val="22"/>
                <w:szCs w:val="22"/>
                <w14:ligatures w14:val="standardContextual"/>
              </w:rPr>
              <w:t>9</w:t>
            </w:r>
          </w:p>
        </w:tc>
        <w:tc>
          <w:tcPr>
            <w:tcW w:w="993" w:type="dxa"/>
            <w:tcMar>
              <w:top w:w="0" w:type="dxa"/>
              <w:left w:w="108" w:type="dxa"/>
              <w:bottom w:w="0" w:type="dxa"/>
              <w:right w:w="108" w:type="dxa"/>
            </w:tcMar>
            <w:hideMark/>
          </w:tcPr>
          <w:p w14:paraId="69E188CF" w14:textId="4B602F18" w:rsidR="00A213AE" w:rsidRPr="00AC3478" w:rsidRDefault="00D17F31" w:rsidP="000475EA">
            <w:pPr>
              <w:jc w:val="center"/>
              <w:rPr>
                <w:rFonts w:eastAsia="Calibri" w:cs="Aptos"/>
                <w:sz w:val="22"/>
                <w:szCs w:val="22"/>
                <w14:ligatures w14:val="standardContextual"/>
              </w:rPr>
            </w:pPr>
            <w:r>
              <w:rPr>
                <w:rFonts w:eastAsia="Calibri" w:cs="Aptos"/>
                <w:sz w:val="22"/>
                <w:szCs w:val="22"/>
                <w14:ligatures w14:val="standardContextual"/>
              </w:rPr>
              <w:t>145</w:t>
            </w:r>
          </w:p>
        </w:tc>
        <w:tc>
          <w:tcPr>
            <w:tcW w:w="990" w:type="dxa"/>
            <w:tcMar>
              <w:top w:w="0" w:type="dxa"/>
              <w:left w:w="108" w:type="dxa"/>
              <w:bottom w:w="0" w:type="dxa"/>
              <w:right w:w="108" w:type="dxa"/>
            </w:tcMar>
            <w:hideMark/>
          </w:tcPr>
          <w:p w14:paraId="0C4A68D6" w14:textId="14EDAE48" w:rsidR="00A213AE" w:rsidRPr="00AC3478" w:rsidRDefault="00D17F31" w:rsidP="000475EA">
            <w:pPr>
              <w:jc w:val="center"/>
              <w:rPr>
                <w:rFonts w:eastAsia="Calibri" w:cs="Aptos"/>
                <w:sz w:val="22"/>
                <w:szCs w:val="22"/>
                <w14:ligatures w14:val="standardContextual"/>
              </w:rPr>
            </w:pPr>
            <w:r>
              <w:rPr>
                <w:rFonts w:eastAsia="Calibri" w:cs="Aptos"/>
                <w:sz w:val="22"/>
                <w:szCs w:val="22"/>
                <w14:ligatures w14:val="standardContextual"/>
              </w:rPr>
              <w:t>196</w:t>
            </w:r>
          </w:p>
        </w:tc>
        <w:tc>
          <w:tcPr>
            <w:tcW w:w="852" w:type="dxa"/>
            <w:tcMar>
              <w:top w:w="0" w:type="dxa"/>
              <w:left w:w="108" w:type="dxa"/>
              <w:bottom w:w="0" w:type="dxa"/>
              <w:right w:w="108" w:type="dxa"/>
            </w:tcMar>
            <w:hideMark/>
          </w:tcPr>
          <w:p w14:paraId="1DA481FB" w14:textId="43D286F5" w:rsidR="00A213AE" w:rsidRPr="00AC3478" w:rsidRDefault="00D17F31" w:rsidP="000475EA">
            <w:pPr>
              <w:jc w:val="center"/>
              <w:rPr>
                <w:rFonts w:eastAsia="Calibri" w:cs="Aptos"/>
                <w:sz w:val="22"/>
                <w:szCs w:val="22"/>
                <w14:ligatures w14:val="standardContextual"/>
              </w:rPr>
            </w:pPr>
            <w:r>
              <w:rPr>
                <w:rFonts w:eastAsia="Calibri" w:cs="Aptos"/>
                <w:sz w:val="22"/>
                <w:szCs w:val="22"/>
                <w14:ligatures w14:val="standardContextual"/>
              </w:rPr>
              <w:t>863</w:t>
            </w:r>
          </w:p>
        </w:tc>
      </w:tr>
    </w:tbl>
    <w:p w14:paraId="53AF5A55" w14:textId="468FE761" w:rsidR="00D5025F" w:rsidRDefault="00D5025F" w:rsidP="007A49A7">
      <w:pPr>
        <w:spacing w:before="120" w:after="120"/>
      </w:pPr>
      <w:r>
        <w:t xml:space="preserve">Guardianship and administration </w:t>
      </w:r>
      <w:r w:rsidR="0015482E">
        <w:t>are</w:t>
      </w:r>
      <w:r>
        <w:t xml:space="preserve"> the most common </w:t>
      </w:r>
      <w:r w:rsidR="0015482E">
        <w:t>matters we assist people with</w:t>
      </w:r>
      <w:r w:rsidR="1EF46D91">
        <w:t xml:space="preserve"> before QCAT</w:t>
      </w:r>
      <w:r w:rsidR="0015482E">
        <w:t xml:space="preserve">. We </w:t>
      </w:r>
      <w:r w:rsidR="00893AE3">
        <w:t>also assist</w:t>
      </w:r>
      <w:r w:rsidR="00717ECE">
        <w:t xml:space="preserve"> people</w:t>
      </w:r>
      <w:r w:rsidR="00611BE7">
        <w:t xml:space="preserve"> with restrictive practice</w:t>
      </w:r>
      <w:r w:rsidR="001128E2">
        <w:t>s matters before</w:t>
      </w:r>
      <w:r w:rsidR="00B96256">
        <w:t xml:space="preserve"> </w:t>
      </w:r>
      <w:proofErr w:type="gramStart"/>
      <w:r w:rsidR="001128E2">
        <w:t>QCAT,</w:t>
      </w:r>
      <w:proofErr w:type="gramEnd"/>
      <w:r w:rsidR="001128E2">
        <w:t xml:space="preserve"> however </w:t>
      </w:r>
      <w:r w:rsidR="00AE0E02">
        <w:t>these numbers</w:t>
      </w:r>
      <w:r w:rsidR="001128E2">
        <w:t xml:space="preserve"> are </w:t>
      </w:r>
      <w:r w:rsidR="00BA0A51">
        <w:t>much</w:t>
      </w:r>
      <w:r w:rsidR="001128E2">
        <w:t xml:space="preserve"> lower compared to guardianship and </w:t>
      </w:r>
      <w:r w:rsidR="00AE0E02">
        <w:t>administration matters</w:t>
      </w:r>
      <w:r w:rsidR="00E10F3F">
        <w:t xml:space="preserve">. </w:t>
      </w:r>
      <w:r w:rsidR="00E10F3F" w:rsidRPr="00F91A4D">
        <w:t xml:space="preserve">In the </w:t>
      </w:r>
      <w:r w:rsidR="003222E2">
        <w:t>past five years</w:t>
      </w:r>
      <w:r w:rsidR="00E10F3F" w:rsidRPr="00F91A4D">
        <w:t>, we represented people at restrictive practice matters before QCAT in 3 instances, we provided legal advice 8 times, and we provided a total of 13 information and referrals.</w:t>
      </w:r>
      <w:r w:rsidR="007E7A7D">
        <w:t xml:space="preserve"> </w:t>
      </w:r>
    </w:p>
    <w:p w14:paraId="0D4A3759" w14:textId="19AC59C5" w:rsidR="007F3268" w:rsidRDefault="00892F24" w:rsidP="007A49A7">
      <w:pPr>
        <w:spacing w:before="120" w:after="120"/>
      </w:pPr>
      <w:r>
        <w:t xml:space="preserve">Disability discrimination is </w:t>
      </w:r>
      <w:r w:rsidR="00D343CA">
        <w:t xml:space="preserve">another </w:t>
      </w:r>
      <w:r w:rsidR="00887A3F">
        <w:t>matter type</w:t>
      </w:r>
      <w:r w:rsidR="00F81F1B">
        <w:t xml:space="preserve"> we assist people with. The data below </w:t>
      </w:r>
      <w:r w:rsidR="0092039D">
        <w:t>provides a snapshot of the assistance we provided</w:t>
      </w:r>
      <w:r w:rsidR="000535C6">
        <w:t xml:space="preserve"> in</w:t>
      </w:r>
      <w:r w:rsidR="0092039D">
        <w:t xml:space="preserve"> the last 5 years</w:t>
      </w:r>
      <w:r w:rsidR="00903C05">
        <w:t xml:space="preserve">. We note </w:t>
      </w:r>
      <w:r w:rsidR="003B7F95">
        <w:t>that</w:t>
      </w:r>
      <w:r w:rsidR="00903C05">
        <w:t xml:space="preserve"> legal advice</w:t>
      </w:r>
      <w:r w:rsidR="003B7F95">
        <w:t>,</w:t>
      </w:r>
      <w:r w:rsidR="00903C05">
        <w:t xml:space="preserve"> and information and referral data may not necessarily</w:t>
      </w:r>
      <w:r w:rsidR="00D158DE">
        <w:t xml:space="preserve"> measure QCAT involvement in such matters,</w:t>
      </w:r>
      <w:r w:rsidR="001114E7">
        <w:t xml:space="preserve"> as they include instances where we advised </w:t>
      </w:r>
      <w:r w:rsidR="000075A4">
        <w:t>people at the Queensland Human Rights Commission (</w:t>
      </w:r>
      <w:r w:rsidR="000075A4" w:rsidRPr="000075A4">
        <w:rPr>
          <w:b/>
          <w:bCs/>
        </w:rPr>
        <w:t>QHRC</w:t>
      </w:r>
      <w:r w:rsidR="000075A4">
        <w:t>) and the Australian Human Rights Commission (</w:t>
      </w:r>
      <w:r w:rsidR="000075A4" w:rsidRPr="000075A4">
        <w:rPr>
          <w:b/>
          <w:bCs/>
        </w:rPr>
        <w:t>AHRC</w:t>
      </w:r>
      <w:r w:rsidR="000075A4">
        <w:t xml:space="preserve">). The numbers below demonstrate </w:t>
      </w:r>
      <w:r w:rsidR="00805633">
        <w:t xml:space="preserve">the need for assistance </w:t>
      </w:r>
      <w:proofErr w:type="gramStart"/>
      <w:r w:rsidR="00805633">
        <w:t>in</w:t>
      </w:r>
      <w:r w:rsidR="001F443C">
        <w:t xml:space="preserve"> th</w:t>
      </w:r>
      <w:r w:rsidR="000075A4">
        <w:t xml:space="preserve">e </w:t>
      </w:r>
      <w:r w:rsidR="001F443C">
        <w:t>area</w:t>
      </w:r>
      <w:r w:rsidR="000075A4">
        <w:t xml:space="preserve"> of</w:t>
      </w:r>
      <w:proofErr w:type="gramEnd"/>
      <w:r w:rsidR="000075A4">
        <w:t xml:space="preserve"> discrimination</w:t>
      </w:r>
      <w:r w:rsidR="001F443C">
        <w:t>.</w:t>
      </w:r>
    </w:p>
    <w:tbl>
      <w:tblPr>
        <w:tblW w:w="9072"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835"/>
        <w:gridCol w:w="993"/>
        <w:gridCol w:w="992"/>
        <w:gridCol w:w="992"/>
        <w:gridCol w:w="992"/>
        <w:gridCol w:w="1014"/>
        <w:gridCol w:w="1254"/>
      </w:tblGrid>
      <w:tr w:rsidR="000B2554" w:rsidRPr="00A213AE" w14:paraId="4EC45BD5" w14:textId="77777777" w:rsidTr="0034204E">
        <w:tc>
          <w:tcPr>
            <w:tcW w:w="2835" w:type="dxa"/>
            <w:shd w:val="clear" w:color="auto" w:fill="401E6B"/>
            <w:tcMar>
              <w:top w:w="0" w:type="dxa"/>
              <w:left w:w="108" w:type="dxa"/>
              <w:bottom w:w="0" w:type="dxa"/>
              <w:right w:w="108" w:type="dxa"/>
            </w:tcMar>
          </w:tcPr>
          <w:p w14:paraId="3F7AA390" w14:textId="2AD8D699" w:rsidR="00805633" w:rsidRPr="00811B0F" w:rsidRDefault="00805633" w:rsidP="000475EA">
            <w:pPr>
              <w:rPr>
                <w:rFonts w:eastAsia="Calibri" w:cs="Aptos"/>
                <w:b/>
                <w:color w:val="FFFFFF" w:themeColor="background1"/>
                <w:sz w:val="22"/>
                <w:szCs w:val="22"/>
                <w14:ligatures w14:val="standardContextual"/>
              </w:rPr>
            </w:pPr>
            <w:r w:rsidRPr="00811B0F">
              <w:rPr>
                <w:rFonts w:eastAsia="Calibri" w:cs="Aptos"/>
                <w:b/>
                <w:color w:val="FFFFFF" w:themeColor="background1"/>
                <w:sz w:val="22"/>
                <w:szCs w:val="22"/>
                <w14:ligatures w14:val="standardContextual"/>
              </w:rPr>
              <w:t>Disability discrimination</w:t>
            </w:r>
          </w:p>
        </w:tc>
        <w:tc>
          <w:tcPr>
            <w:tcW w:w="993" w:type="dxa"/>
            <w:shd w:val="clear" w:color="auto" w:fill="401E6B"/>
            <w:tcMar>
              <w:top w:w="0" w:type="dxa"/>
              <w:left w:w="108" w:type="dxa"/>
              <w:bottom w:w="0" w:type="dxa"/>
              <w:right w:w="108" w:type="dxa"/>
            </w:tcMar>
            <w:hideMark/>
          </w:tcPr>
          <w:p w14:paraId="5EE1A680" w14:textId="77777777" w:rsidR="00805633" w:rsidRPr="00811B0F" w:rsidRDefault="00805633" w:rsidP="000475EA">
            <w:pPr>
              <w:rPr>
                <w:rFonts w:eastAsia="Calibri" w:cs="Aptos"/>
                <w:b/>
                <w:color w:val="FFFFFF" w:themeColor="background1"/>
                <w:sz w:val="22"/>
                <w:szCs w:val="22"/>
                <w14:ligatures w14:val="standardContextual"/>
              </w:rPr>
            </w:pPr>
            <w:r w:rsidRPr="00811B0F">
              <w:rPr>
                <w:rFonts w:eastAsia="Calibri" w:cs="Aptos"/>
                <w:b/>
                <w:color w:val="FFFFFF" w:themeColor="background1"/>
                <w:sz w:val="22"/>
                <w:szCs w:val="22"/>
                <w14:ligatures w14:val="standardContextual"/>
              </w:rPr>
              <w:t>FY 2021</w:t>
            </w:r>
          </w:p>
        </w:tc>
        <w:tc>
          <w:tcPr>
            <w:tcW w:w="992" w:type="dxa"/>
            <w:shd w:val="clear" w:color="auto" w:fill="401E6B"/>
            <w:tcMar>
              <w:top w:w="0" w:type="dxa"/>
              <w:left w:w="108" w:type="dxa"/>
              <w:bottom w:w="0" w:type="dxa"/>
              <w:right w:w="108" w:type="dxa"/>
            </w:tcMar>
            <w:hideMark/>
          </w:tcPr>
          <w:p w14:paraId="11BD5884" w14:textId="77777777" w:rsidR="00805633" w:rsidRPr="00811B0F" w:rsidRDefault="00805633" w:rsidP="000475EA">
            <w:pPr>
              <w:rPr>
                <w:rFonts w:eastAsia="Calibri" w:cs="Aptos"/>
                <w:b/>
                <w:color w:val="FFFFFF" w:themeColor="background1"/>
                <w:sz w:val="22"/>
                <w:szCs w:val="22"/>
                <w14:ligatures w14:val="standardContextual"/>
              </w:rPr>
            </w:pPr>
            <w:r w:rsidRPr="00811B0F">
              <w:rPr>
                <w:rFonts w:eastAsia="Calibri" w:cs="Aptos"/>
                <w:b/>
                <w:color w:val="FFFFFF" w:themeColor="background1"/>
                <w:sz w:val="22"/>
                <w:szCs w:val="22"/>
                <w14:ligatures w14:val="standardContextual"/>
              </w:rPr>
              <w:t>FY 2022</w:t>
            </w:r>
          </w:p>
        </w:tc>
        <w:tc>
          <w:tcPr>
            <w:tcW w:w="992" w:type="dxa"/>
            <w:shd w:val="clear" w:color="auto" w:fill="401E6B"/>
            <w:tcMar>
              <w:top w:w="0" w:type="dxa"/>
              <w:left w:w="108" w:type="dxa"/>
              <w:bottom w:w="0" w:type="dxa"/>
              <w:right w:w="108" w:type="dxa"/>
            </w:tcMar>
            <w:hideMark/>
          </w:tcPr>
          <w:p w14:paraId="27F97587" w14:textId="77777777" w:rsidR="00805633" w:rsidRPr="00811B0F" w:rsidRDefault="00805633" w:rsidP="000475EA">
            <w:pPr>
              <w:rPr>
                <w:rFonts w:eastAsia="Calibri" w:cs="Aptos"/>
                <w:b/>
                <w:color w:val="FFFFFF" w:themeColor="background1"/>
                <w:sz w:val="22"/>
                <w:szCs w:val="22"/>
                <w14:ligatures w14:val="standardContextual"/>
              </w:rPr>
            </w:pPr>
            <w:r w:rsidRPr="00811B0F">
              <w:rPr>
                <w:rFonts w:eastAsia="Calibri" w:cs="Aptos"/>
                <w:b/>
                <w:color w:val="FFFFFF" w:themeColor="background1"/>
                <w:sz w:val="22"/>
                <w:szCs w:val="22"/>
                <w14:ligatures w14:val="standardContextual"/>
              </w:rPr>
              <w:t>FY 2023</w:t>
            </w:r>
          </w:p>
        </w:tc>
        <w:tc>
          <w:tcPr>
            <w:tcW w:w="992" w:type="dxa"/>
            <w:shd w:val="clear" w:color="auto" w:fill="401E6B"/>
            <w:tcMar>
              <w:top w:w="0" w:type="dxa"/>
              <w:left w:w="108" w:type="dxa"/>
              <w:bottom w:w="0" w:type="dxa"/>
              <w:right w:w="108" w:type="dxa"/>
            </w:tcMar>
            <w:hideMark/>
          </w:tcPr>
          <w:p w14:paraId="281E9103" w14:textId="77777777" w:rsidR="00805633" w:rsidRPr="00811B0F" w:rsidRDefault="00805633" w:rsidP="000475EA">
            <w:pPr>
              <w:rPr>
                <w:rFonts w:eastAsia="Calibri" w:cs="Aptos"/>
                <w:b/>
                <w:color w:val="FFFFFF" w:themeColor="background1"/>
                <w:sz w:val="22"/>
                <w:szCs w:val="22"/>
                <w14:ligatures w14:val="standardContextual"/>
              </w:rPr>
            </w:pPr>
            <w:r w:rsidRPr="00811B0F">
              <w:rPr>
                <w:rFonts w:eastAsia="Calibri" w:cs="Aptos"/>
                <w:b/>
                <w:color w:val="FFFFFF" w:themeColor="background1"/>
                <w:sz w:val="22"/>
                <w:szCs w:val="22"/>
                <w14:ligatures w14:val="standardContextual"/>
              </w:rPr>
              <w:t>FY 2024</w:t>
            </w:r>
          </w:p>
        </w:tc>
        <w:tc>
          <w:tcPr>
            <w:tcW w:w="1014" w:type="dxa"/>
            <w:shd w:val="clear" w:color="auto" w:fill="401E6B"/>
            <w:tcMar>
              <w:top w:w="0" w:type="dxa"/>
              <w:left w:w="108" w:type="dxa"/>
              <w:bottom w:w="0" w:type="dxa"/>
              <w:right w:w="108" w:type="dxa"/>
            </w:tcMar>
            <w:hideMark/>
          </w:tcPr>
          <w:p w14:paraId="37ADF92E" w14:textId="77777777" w:rsidR="00805633" w:rsidRPr="00811B0F" w:rsidRDefault="00805633" w:rsidP="000475EA">
            <w:pPr>
              <w:rPr>
                <w:rFonts w:eastAsia="Calibri" w:cs="Aptos"/>
                <w:b/>
                <w:color w:val="FFFFFF" w:themeColor="background1"/>
                <w:sz w:val="22"/>
                <w:szCs w:val="22"/>
                <w14:ligatures w14:val="standardContextual"/>
              </w:rPr>
            </w:pPr>
            <w:r w:rsidRPr="00811B0F">
              <w:rPr>
                <w:rFonts w:eastAsia="Calibri" w:cs="Aptos"/>
                <w:b/>
                <w:color w:val="FFFFFF" w:themeColor="background1"/>
                <w:sz w:val="22"/>
                <w:szCs w:val="22"/>
                <w14:ligatures w14:val="standardContextual"/>
              </w:rPr>
              <w:t>FY 2025</w:t>
            </w:r>
          </w:p>
        </w:tc>
        <w:tc>
          <w:tcPr>
            <w:tcW w:w="1254" w:type="dxa"/>
            <w:shd w:val="clear" w:color="auto" w:fill="401E6B"/>
            <w:tcMar>
              <w:top w:w="0" w:type="dxa"/>
              <w:left w:w="108" w:type="dxa"/>
              <w:bottom w:w="0" w:type="dxa"/>
              <w:right w:w="108" w:type="dxa"/>
            </w:tcMar>
            <w:hideMark/>
          </w:tcPr>
          <w:p w14:paraId="283D326E" w14:textId="77777777" w:rsidR="00805633" w:rsidRPr="00811B0F" w:rsidRDefault="00805633" w:rsidP="000475EA">
            <w:pPr>
              <w:rPr>
                <w:rFonts w:eastAsia="Calibri" w:cs="Aptos"/>
                <w:b/>
                <w:color w:val="FFFFFF" w:themeColor="background1"/>
                <w:sz w:val="22"/>
                <w:szCs w:val="22"/>
                <w14:ligatures w14:val="standardContextual"/>
              </w:rPr>
            </w:pPr>
            <w:r w:rsidRPr="00811B0F">
              <w:rPr>
                <w:rFonts w:eastAsia="Calibri" w:cs="Aptos"/>
                <w:b/>
                <w:color w:val="FFFFFF" w:themeColor="background1"/>
                <w:sz w:val="22"/>
                <w:szCs w:val="22"/>
                <w14:ligatures w14:val="standardContextual"/>
              </w:rPr>
              <w:t>TOTAL</w:t>
            </w:r>
          </w:p>
        </w:tc>
      </w:tr>
      <w:tr w:rsidR="000B2554" w:rsidRPr="00A213AE" w14:paraId="568A3D64" w14:textId="77777777" w:rsidTr="0034204E">
        <w:tc>
          <w:tcPr>
            <w:tcW w:w="2835" w:type="dxa"/>
            <w:tcMar>
              <w:top w:w="0" w:type="dxa"/>
              <w:left w:w="108" w:type="dxa"/>
              <w:bottom w:w="0" w:type="dxa"/>
              <w:right w:w="108" w:type="dxa"/>
            </w:tcMar>
            <w:hideMark/>
          </w:tcPr>
          <w:p w14:paraId="5E03EB38" w14:textId="77777777" w:rsidR="00805633" w:rsidRPr="004A1392" w:rsidRDefault="00805633" w:rsidP="000475EA">
            <w:pPr>
              <w:rPr>
                <w:rFonts w:eastAsia="Calibri" w:cs="Aptos"/>
                <w:sz w:val="22"/>
                <w:szCs w:val="22"/>
                <w14:ligatures w14:val="standardContextual"/>
              </w:rPr>
            </w:pPr>
            <w:r w:rsidRPr="004A1392">
              <w:rPr>
                <w:rFonts w:eastAsia="Calibri" w:cs="Aptos"/>
                <w:sz w:val="22"/>
                <w:szCs w:val="22"/>
                <w14:ligatures w14:val="standardContextual"/>
              </w:rPr>
              <w:t>QCAT Representations</w:t>
            </w:r>
          </w:p>
        </w:tc>
        <w:tc>
          <w:tcPr>
            <w:tcW w:w="993" w:type="dxa"/>
            <w:tcMar>
              <w:top w:w="0" w:type="dxa"/>
              <w:left w:w="108" w:type="dxa"/>
              <w:bottom w:w="0" w:type="dxa"/>
              <w:right w:w="108" w:type="dxa"/>
            </w:tcMar>
            <w:hideMark/>
          </w:tcPr>
          <w:p w14:paraId="5763B250" w14:textId="70A7CE15" w:rsidR="00805633" w:rsidRPr="00AC3478" w:rsidRDefault="00E06477" w:rsidP="000475EA">
            <w:pPr>
              <w:jc w:val="center"/>
              <w:rPr>
                <w:rFonts w:eastAsia="Calibri" w:cs="Aptos"/>
                <w:sz w:val="22"/>
                <w:szCs w:val="22"/>
                <w14:ligatures w14:val="standardContextual"/>
              </w:rPr>
            </w:pPr>
            <w:r>
              <w:rPr>
                <w:rFonts w:eastAsia="Calibri" w:cs="Aptos"/>
                <w:sz w:val="22"/>
                <w:szCs w:val="22"/>
                <w14:ligatures w14:val="standardContextual"/>
              </w:rPr>
              <w:t>0</w:t>
            </w:r>
          </w:p>
        </w:tc>
        <w:tc>
          <w:tcPr>
            <w:tcW w:w="992" w:type="dxa"/>
            <w:tcMar>
              <w:top w:w="0" w:type="dxa"/>
              <w:left w:w="108" w:type="dxa"/>
              <w:bottom w:w="0" w:type="dxa"/>
              <w:right w:w="108" w:type="dxa"/>
            </w:tcMar>
            <w:hideMark/>
          </w:tcPr>
          <w:p w14:paraId="26BC8147" w14:textId="0A6AF9FA" w:rsidR="00805633" w:rsidRPr="00AC3478" w:rsidRDefault="00E06477" w:rsidP="000475EA">
            <w:pPr>
              <w:jc w:val="center"/>
              <w:rPr>
                <w:rFonts w:eastAsia="Calibri" w:cs="Aptos"/>
                <w:sz w:val="22"/>
                <w:szCs w:val="22"/>
                <w14:ligatures w14:val="standardContextual"/>
              </w:rPr>
            </w:pPr>
            <w:r>
              <w:rPr>
                <w:rFonts w:eastAsia="Calibri" w:cs="Aptos"/>
                <w:sz w:val="22"/>
                <w:szCs w:val="22"/>
                <w14:ligatures w14:val="standardContextual"/>
              </w:rPr>
              <w:t>0</w:t>
            </w:r>
          </w:p>
        </w:tc>
        <w:tc>
          <w:tcPr>
            <w:tcW w:w="992" w:type="dxa"/>
            <w:tcMar>
              <w:top w:w="0" w:type="dxa"/>
              <w:left w:w="108" w:type="dxa"/>
              <w:bottom w:w="0" w:type="dxa"/>
              <w:right w:w="108" w:type="dxa"/>
            </w:tcMar>
            <w:hideMark/>
          </w:tcPr>
          <w:p w14:paraId="28B84EF2" w14:textId="0A66D89A" w:rsidR="00805633" w:rsidRPr="00AC3478" w:rsidRDefault="00E06477" w:rsidP="000475EA">
            <w:pPr>
              <w:jc w:val="center"/>
              <w:rPr>
                <w:rFonts w:eastAsia="Calibri" w:cs="Aptos"/>
                <w:sz w:val="22"/>
                <w:szCs w:val="22"/>
                <w14:ligatures w14:val="standardContextual"/>
              </w:rPr>
            </w:pPr>
            <w:r>
              <w:rPr>
                <w:rFonts w:eastAsia="Calibri" w:cs="Aptos"/>
                <w:sz w:val="22"/>
                <w:szCs w:val="22"/>
                <w14:ligatures w14:val="standardContextual"/>
              </w:rPr>
              <w:t>0</w:t>
            </w:r>
          </w:p>
        </w:tc>
        <w:tc>
          <w:tcPr>
            <w:tcW w:w="992" w:type="dxa"/>
            <w:tcMar>
              <w:top w:w="0" w:type="dxa"/>
              <w:left w:w="108" w:type="dxa"/>
              <w:bottom w:w="0" w:type="dxa"/>
              <w:right w:w="108" w:type="dxa"/>
            </w:tcMar>
            <w:hideMark/>
          </w:tcPr>
          <w:p w14:paraId="41B95EB3" w14:textId="0F31C0DE" w:rsidR="00805633" w:rsidRPr="00AC3478" w:rsidRDefault="00E06477" w:rsidP="000475EA">
            <w:pPr>
              <w:jc w:val="center"/>
              <w:rPr>
                <w:rFonts w:eastAsia="Calibri" w:cs="Aptos"/>
                <w:sz w:val="22"/>
                <w:szCs w:val="22"/>
                <w14:ligatures w14:val="standardContextual"/>
              </w:rPr>
            </w:pPr>
            <w:r>
              <w:rPr>
                <w:rFonts w:eastAsia="Calibri" w:cs="Aptos"/>
                <w:sz w:val="22"/>
                <w:szCs w:val="22"/>
                <w14:ligatures w14:val="standardContextual"/>
              </w:rPr>
              <w:t>2</w:t>
            </w:r>
          </w:p>
        </w:tc>
        <w:tc>
          <w:tcPr>
            <w:tcW w:w="1014" w:type="dxa"/>
            <w:tcMar>
              <w:top w:w="0" w:type="dxa"/>
              <w:left w:w="108" w:type="dxa"/>
              <w:bottom w:w="0" w:type="dxa"/>
              <w:right w:w="108" w:type="dxa"/>
            </w:tcMar>
            <w:hideMark/>
          </w:tcPr>
          <w:p w14:paraId="7F72C91F" w14:textId="120635E4" w:rsidR="00805633" w:rsidRPr="00AC3478" w:rsidRDefault="00E06477" w:rsidP="000475EA">
            <w:pPr>
              <w:jc w:val="center"/>
              <w:rPr>
                <w:rFonts w:eastAsia="Calibri" w:cs="Aptos"/>
                <w:sz w:val="22"/>
                <w:szCs w:val="22"/>
                <w14:ligatures w14:val="standardContextual"/>
              </w:rPr>
            </w:pPr>
            <w:r>
              <w:rPr>
                <w:rFonts w:eastAsia="Calibri" w:cs="Aptos"/>
                <w:sz w:val="22"/>
                <w:szCs w:val="22"/>
                <w14:ligatures w14:val="standardContextual"/>
              </w:rPr>
              <w:t>4</w:t>
            </w:r>
          </w:p>
        </w:tc>
        <w:tc>
          <w:tcPr>
            <w:tcW w:w="1254" w:type="dxa"/>
            <w:tcMar>
              <w:top w:w="0" w:type="dxa"/>
              <w:left w:w="108" w:type="dxa"/>
              <w:bottom w:w="0" w:type="dxa"/>
              <w:right w:w="108" w:type="dxa"/>
            </w:tcMar>
            <w:hideMark/>
          </w:tcPr>
          <w:p w14:paraId="719AB121" w14:textId="1417DE02" w:rsidR="00805633" w:rsidRPr="00AC3478" w:rsidRDefault="00E06477" w:rsidP="000475EA">
            <w:pPr>
              <w:jc w:val="center"/>
              <w:rPr>
                <w:rFonts w:eastAsia="Calibri" w:cs="Aptos"/>
                <w:sz w:val="22"/>
                <w:szCs w:val="22"/>
                <w14:ligatures w14:val="standardContextual"/>
              </w:rPr>
            </w:pPr>
            <w:r>
              <w:rPr>
                <w:rFonts w:eastAsia="Calibri" w:cs="Aptos"/>
                <w:sz w:val="22"/>
                <w:szCs w:val="22"/>
                <w14:ligatures w14:val="standardContextual"/>
              </w:rPr>
              <w:t>6</w:t>
            </w:r>
          </w:p>
        </w:tc>
      </w:tr>
      <w:tr w:rsidR="000B2554" w:rsidRPr="00A213AE" w14:paraId="69B0FC04" w14:textId="77777777" w:rsidTr="0034204E">
        <w:tc>
          <w:tcPr>
            <w:tcW w:w="2835" w:type="dxa"/>
            <w:tcMar>
              <w:top w:w="0" w:type="dxa"/>
              <w:left w:w="108" w:type="dxa"/>
              <w:bottom w:w="0" w:type="dxa"/>
              <w:right w:w="108" w:type="dxa"/>
            </w:tcMar>
            <w:hideMark/>
          </w:tcPr>
          <w:p w14:paraId="10620FA8" w14:textId="77777777" w:rsidR="00805633" w:rsidRPr="004A1392" w:rsidRDefault="00805633" w:rsidP="000475EA">
            <w:pPr>
              <w:rPr>
                <w:rFonts w:eastAsia="Calibri" w:cs="Aptos"/>
                <w:sz w:val="22"/>
                <w:szCs w:val="22"/>
                <w14:ligatures w14:val="standardContextual"/>
              </w:rPr>
            </w:pPr>
            <w:r w:rsidRPr="004A1392">
              <w:rPr>
                <w:rFonts w:eastAsia="Calibri" w:cs="Aptos"/>
                <w:sz w:val="22"/>
                <w:szCs w:val="22"/>
                <w14:ligatures w14:val="standardContextual"/>
              </w:rPr>
              <w:t>Legal Advice</w:t>
            </w:r>
          </w:p>
        </w:tc>
        <w:tc>
          <w:tcPr>
            <w:tcW w:w="993" w:type="dxa"/>
            <w:tcMar>
              <w:top w:w="0" w:type="dxa"/>
              <w:left w:w="108" w:type="dxa"/>
              <w:bottom w:w="0" w:type="dxa"/>
              <w:right w:w="108" w:type="dxa"/>
            </w:tcMar>
            <w:hideMark/>
          </w:tcPr>
          <w:p w14:paraId="1CFF49D8" w14:textId="0180B683" w:rsidR="00805633" w:rsidRPr="00AC3478" w:rsidRDefault="00E06477" w:rsidP="000475EA">
            <w:pPr>
              <w:jc w:val="center"/>
              <w:rPr>
                <w:rFonts w:eastAsia="Calibri" w:cs="Aptos"/>
                <w:sz w:val="22"/>
                <w:szCs w:val="22"/>
                <w14:ligatures w14:val="standardContextual"/>
              </w:rPr>
            </w:pPr>
            <w:r>
              <w:rPr>
                <w:rFonts w:eastAsia="Calibri" w:cs="Aptos"/>
                <w:sz w:val="22"/>
                <w:szCs w:val="22"/>
                <w14:ligatures w14:val="standardContextual"/>
              </w:rPr>
              <w:t>56</w:t>
            </w:r>
          </w:p>
        </w:tc>
        <w:tc>
          <w:tcPr>
            <w:tcW w:w="992" w:type="dxa"/>
            <w:tcMar>
              <w:top w:w="0" w:type="dxa"/>
              <w:left w:w="108" w:type="dxa"/>
              <w:bottom w:w="0" w:type="dxa"/>
              <w:right w:w="108" w:type="dxa"/>
            </w:tcMar>
            <w:hideMark/>
          </w:tcPr>
          <w:p w14:paraId="08C0A496" w14:textId="670D6FE4" w:rsidR="00805633" w:rsidRPr="00AC3478" w:rsidRDefault="00E06477" w:rsidP="000475EA">
            <w:pPr>
              <w:jc w:val="center"/>
              <w:rPr>
                <w:rFonts w:eastAsia="Calibri" w:cs="Aptos"/>
                <w:sz w:val="22"/>
                <w:szCs w:val="22"/>
                <w14:ligatures w14:val="standardContextual"/>
              </w:rPr>
            </w:pPr>
            <w:r>
              <w:rPr>
                <w:rFonts w:eastAsia="Calibri" w:cs="Aptos"/>
                <w:sz w:val="22"/>
                <w:szCs w:val="22"/>
                <w14:ligatures w14:val="standardContextual"/>
              </w:rPr>
              <w:t>139</w:t>
            </w:r>
          </w:p>
        </w:tc>
        <w:tc>
          <w:tcPr>
            <w:tcW w:w="992" w:type="dxa"/>
            <w:tcMar>
              <w:top w:w="0" w:type="dxa"/>
              <w:left w:w="108" w:type="dxa"/>
              <w:bottom w:w="0" w:type="dxa"/>
              <w:right w:w="108" w:type="dxa"/>
            </w:tcMar>
            <w:hideMark/>
          </w:tcPr>
          <w:p w14:paraId="6176BC0C" w14:textId="28A125B7" w:rsidR="00805633" w:rsidRPr="00AC3478" w:rsidRDefault="00E06477" w:rsidP="000475EA">
            <w:pPr>
              <w:jc w:val="center"/>
              <w:rPr>
                <w:rFonts w:eastAsia="Calibri" w:cs="Aptos"/>
                <w:sz w:val="22"/>
                <w:szCs w:val="22"/>
                <w14:ligatures w14:val="standardContextual"/>
              </w:rPr>
            </w:pPr>
            <w:r>
              <w:rPr>
                <w:rFonts w:eastAsia="Calibri" w:cs="Aptos"/>
                <w:sz w:val="22"/>
                <w:szCs w:val="22"/>
                <w14:ligatures w14:val="standardContextual"/>
              </w:rPr>
              <w:t>149</w:t>
            </w:r>
          </w:p>
        </w:tc>
        <w:tc>
          <w:tcPr>
            <w:tcW w:w="992" w:type="dxa"/>
            <w:tcMar>
              <w:top w:w="0" w:type="dxa"/>
              <w:left w:w="108" w:type="dxa"/>
              <w:bottom w:w="0" w:type="dxa"/>
              <w:right w:w="108" w:type="dxa"/>
            </w:tcMar>
            <w:hideMark/>
          </w:tcPr>
          <w:p w14:paraId="231902FC" w14:textId="01839CE8" w:rsidR="00805633" w:rsidRPr="00AC3478" w:rsidRDefault="00805633" w:rsidP="000475EA">
            <w:pPr>
              <w:jc w:val="center"/>
              <w:rPr>
                <w:rFonts w:eastAsia="Calibri" w:cs="Aptos"/>
                <w:sz w:val="22"/>
                <w:szCs w:val="22"/>
                <w14:ligatures w14:val="standardContextual"/>
              </w:rPr>
            </w:pPr>
            <w:r w:rsidRPr="00AC3478">
              <w:rPr>
                <w:rFonts w:eastAsia="Calibri" w:cs="Aptos"/>
                <w:sz w:val="22"/>
                <w:szCs w:val="22"/>
                <w14:ligatures w14:val="standardContextual"/>
              </w:rPr>
              <w:t>1</w:t>
            </w:r>
            <w:r w:rsidR="00E06477">
              <w:rPr>
                <w:rFonts w:eastAsia="Calibri" w:cs="Aptos"/>
                <w:sz w:val="22"/>
                <w:szCs w:val="22"/>
                <w14:ligatures w14:val="standardContextual"/>
              </w:rPr>
              <w:t>26</w:t>
            </w:r>
          </w:p>
        </w:tc>
        <w:tc>
          <w:tcPr>
            <w:tcW w:w="1014" w:type="dxa"/>
            <w:tcMar>
              <w:top w:w="0" w:type="dxa"/>
              <w:left w:w="108" w:type="dxa"/>
              <w:bottom w:w="0" w:type="dxa"/>
              <w:right w:w="108" w:type="dxa"/>
            </w:tcMar>
            <w:hideMark/>
          </w:tcPr>
          <w:p w14:paraId="1194433C" w14:textId="0A3057A2" w:rsidR="00805633" w:rsidRPr="00AC3478" w:rsidRDefault="00275E92" w:rsidP="000475EA">
            <w:pPr>
              <w:jc w:val="center"/>
              <w:rPr>
                <w:rFonts w:eastAsia="Calibri" w:cs="Aptos"/>
                <w:sz w:val="22"/>
                <w:szCs w:val="22"/>
                <w14:ligatures w14:val="standardContextual"/>
              </w:rPr>
            </w:pPr>
            <w:r>
              <w:rPr>
                <w:rFonts w:eastAsia="Calibri" w:cs="Aptos"/>
                <w:sz w:val="22"/>
                <w:szCs w:val="22"/>
                <w14:ligatures w14:val="standardContextual"/>
              </w:rPr>
              <w:t>62</w:t>
            </w:r>
          </w:p>
        </w:tc>
        <w:tc>
          <w:tcPr>
            <w:tcW w:w="1254" w:type="dxa"/>
            <w:tcMar>
              <w:top w:w="0" w:type="dxa"/>
              <w:left w:w="108" w:type="dxa"/>
              <w:bottom w:w="0" w:type="dxa"/>
              <w:right w:w="108" w:type="dxa"/>
            </w:tcMar>
            <w:hideMark/>
          </w:tcPr>
          <w:p w14:paraId="7FE4056C" w14:textId="5893A2D9" w:rsidR="00805633" w:rsidRPr="00AC3478" w:rsidRDefault="00275E92" w:rsidP="000475EA">
            <w:pPr>
              <w:jc w:val="center"/>
              <w:rPr>
                <w:rFonts w:eastAsia="Calibri" w:cs="Aptos"/>
                <w:sz w:val="22"/>
                <w:szCs w:val="22"/>
                <w14:ligatures w14:val="standardContextual"/>
              </w:rPr>
            </w:pPr>
            <w:r>
              <w:rPr>
                <w:rFonts w:eastAsia="Calibri" w:cs="Aptos"/>
                <w:sz w:val="22"/>
                <w:szCs w:val="22"/>
                <w14:ligatures w14:val="standardContextual"/>
              </w:rPr>
              <w:t>550</w:t>
            </w:r>
          </w:p>
        </w:tc>
      </w:tr>
      <w:tr w:rsidR="000B2554" w:rsidRPr="00A213AE" w14:paraId="584194DD" w14:textId="77777777" w:rsidTr="0034204E">
        <w:tc>
          <w:tcPr>
            <w:tcW w:w="2835" w:type="dxa"/>
            <w:tcMar>
              <w:top w:w="0" w:type="dxa"/>
              <w:left w:w="108" w:type="dxa"/>
              <w:bottom w:w="0" w:type="dxa"/>
              <w:right w:w="108" w:type="dxa"/>
            </w:tcMar>
            <w:hideMark/>
          </w:tcPr>
          <w:p w14:paraId="45C101FD" w14:textId="113AFC76" w:rsidR="00805633" w:rsidRPr="004A1392" w:rsidRDefault="00805633" w:rsidP="000475EA">
            <w:pPr>
              <w:rPr>
                <w:rFonts w:eastAsia="Calibri" w:cs="Aptos"/>
                <w:sz w:val="22"/>
                <w:szCs w:val="22"/>
                <w14:ligatures w14:val="standardContextual"/>
              </w:rPr>
            </w:pPr>
            <w:r w:rsidRPr="004A1392">
              <w:rPr>
                <w:rFonts w:eastAsia="Calibri" w:cs="Aptos"/>
                <w:sz w:val="22"/>
                <w:szCs w:val="22"/>
                <w14:ligatures w14:val="standardContextual"/>
              </w:rPr>
              <w:t>Info</w:t>
            </w:r>
            <w:r w:rsidR="00E10F3F" w:rsidRPr="004A1392">
              <w:rPr>
                <w:rFonts w:eastAsia="Calibri" w:cs="Aptos"/>
                <w:sz w:val="22"/>
                <w:szCs w:val="22"/>
                <w14:ligatures w14:val="standardContextual"/>
              </w:rPr>
              <w:t>rmation</w:t>
            </w:r>
            <w:r w:rsidRPr="004A1392">
              <w:rPr>
                <w:rFonts w:eastAsia="Calibri" w:cs="Aptos"/>
                <w:sz w:val="22"/>
                <w:szCs w:val="22"/>
                <w14:ligatures w14:val="standardContextual"/>
              </w:rPr>
              <w:t xml:space="preserve"> &amp; Referral</w:t>
            </w:r>
          </w:p>
        </w:tc>
        <w:tc>
          <w:tcPr>
            <w:tcW w:w="993" w:type="dxa"/>
            <w:tcMar>
              <w:top w:w="0" w:type="dxa"/>
              <w:left w:w="108" w:type="dxa"/>
              <w:bottom w:w="0" w:type="dxa"/>
              <w:right w:w="108" w:type="dxa"/>
            </w:tcMar>
            <w:hideMark/>
          </w:tcPr>
          <w:p w14:paraId="18762D44" w14:textId="2BC889A5" w:rsidR="00805633" w:rsidRPr="00AC3478" w:rsidRDefault="00275E92" w:rsidP="000475EA">
            <w:pPr>
              <w:jc w:val="center"/>
              <w:rPr>
                <w:rFonts w:eastAsia="Calibri" w:cs="Aptos"/>
                <w:sz w:val="22"/>
                <w:szCs w:val="22"/>
                <w14:ligatures w14:val="standardContextual"/>
              </w:rPr>
            </w:pPr>
            <w:r>
              <w:rPr>
                <w:rFonts w:eastAsia="Calibri" w:cs="Aptos"/>
                <w:sz w:val="22"/>
                <w:szCs w:val="22"/>
                <w14:ligatures w14:val="standardContextual"/>
              </w:rPr>
              <w:t>48</w:t>
            </w:r>
          </w:p>
        </w:tc>
        <w:tc>
          <w:tcPr>
            <w:tcW w:w="992" w:type="dxa"/>
            <w:tcMar>
              <w:top w:w="0" w:type="dxa"/>
              <w:left w:w="108" w:type="dxa"/>
              <w:bottom w:w="0" w:type="dxa"/>
              <w:right w:w="108" w:type="dxa"/>
            </w:tcMar>
            <w:hideMark/>
          </w:tcPr>
          <w:p w14:paraId="08B341D4" w14:textId="7B0A55EC" w:rsidR="00805633" w:rsidRPr="00AC3478" w:rsidRDefault="00275E92" w:rsidP="000475EA">
            <w:pPr>
              <w:jc w:val="center"/>
              <w:rPr>
                <w:rFonts w:eastAsia="Calibri" w:cs="Aptos"/>
                <w:sz w:val="22"/>
                <w:szCs w:val="22"/>
                <w14:ligatures w14:val="standardContextual"/>
              </w:rPr>
            </w:pPr>
            <w:r>
              <w:rPr>
                <w:rFonts w:eastAsia="Calibri" w:cs="Aptos"/>
                <w:sz w:val="22"/>
                <w:szCs w:val="22"/>
                <w14:ligatures w14:val="standardContextual"/>
              </w:rPr>
              <w:t>96</w:t>
            </w:r>
          </w:p>
        </w:tc>
        <w:tc>
          <w:tcPr>
            <w:tcW w:w="992" w:type="dxa"/>
            <w:tcMar>
              <w:top w:w="0" w:type="dxa"/>
              <w:left w:w="108" w:type="dxa"/>
              <w:bottom w:w="0" w:type="dxa"/>
              <w:right w:w="108" w:type="dxa"/>
            </w:tcMar>
            <w:hideMark/>
          </w:tcPr>
          <w:p w14:paraId="5FF1175D" w14:textId="4B3D5CA7" w:rsidR="00805633" w:rsidRPr="00AC3478" w:rsidRDefault="00275E92" w:rsidP="000475EA">
            <w:pPr>
              <w:jc w:val="center"/>
              <w:rPr>
                <w:rFonts w:eastAsia="Calibri" w:cs="Aptos"/>
                <w:sz w:val="22"/>
                <w:szCs w:val="22"/>
                <w14:ligatures w14:val="standardContextual"/>
              </w:rPr>
            </w:pPr>
            <w:r>
              <w:rPr>
                <w:rFonts w:eastAsia="Calibri" w:cs="Aptos"/>
                <w:sz w:val="22"/>
                <w:szCs w:val="22"/>
                <w14:ligatures w14:val="standardContextual"/>
              </w:rPr>
              <w:t>136</w:t>
            </w:r>
          </w:p>
        </w:tc>
        <w:tc>
          <w:tcPr>
            <w:tcW w:w="992" w:type="dxa"/>
            <w:tcMar>
              <w:top w:w="0" w:type="dxa"/>
              <w:left w:w="108" w:type="dxa"/>
              <w:bottom w:w="0" w:type="dxa"/>
              <w:right w:w="108" w:type="dxa"/>
            </w:tcMar>
            <w:hideMark/>
          </w:tcPr>
          <w:p w14:paraId="3F1A3136" w14:textId="55217279" w:rsidR="00805633" w:rsidRPr="00AC3478" w:rsidRDefault="00275E92" w:rsidP="000475EA">
            <w:pPr>
              <w:jc w:val="center"/>
              <w:rPr>
                <w:rFonts w:eastAsia="Calibri" w:cs="Aptos"/>
                <w:sz w:val="22"/>
                <w:szCs w:val="22"/>
                <w14:ligatures w14:val="standardContextual"/>
              </w:rPr>
            </w:pPr>
            <w:r>
              <w:rPr>
                <w:rFonts w:eastAsia="Calibri" w:cs="Aptos"/>
                <w:sz w:val="22"/>
                <w:szCs w:val="22"/>
                <w14:ligatures w14:val="standardContextual"/>
              </w:rPr>
              <w:t>179</w:t>
            </w:r>
          </w:p>
        </w:tc>
        <w:tc>
          <w:tcPr>
            <w:tcW w:w="1014" w:type="dxa"/>
            <w:tcMar>
              <w:top w:w="0" w:type="dxa"/>
              <w:left w:w="108" w:type="dxa"/>
              <w:bottom w:w="0" w:type="dxa"/>
              <w:right w:w="108" w:type="dxa"/>
            </w:tcMar>
            <w:hideMark/>
          </w:tcPr>
          <w:p w14:paraId="6ADECA11" w14:textId="1B848F61" w:rsidR="00805633" w:rsidRPr="00AC3478" w:rsidRDefault="00275E92" w:rsidP="000475EA">
            <w:pPr>
              <w:jc w:val="center"/>
              <w:rPr>
                <w:rFonts w:eastAsia="Calibri" w:cs="Aptos"/>
                <w:sz w:val="22"/>
                <w:szCs w:val="22"/>
                <w14:ligatures w14:val="standardContextual"/>
              </w:rPr>
            </w:pPr>
            <w:r>
              <w:rPr>
                <w:rFonts w:eastAsia="Calibri" w:cs="Aptos"/>
                <w:sz w:val="22"/>
                <w:szCs w:val="22"/>
                <w14:ligatures w14:val="standardContextual"/>
              </w:rPr>
              <w:t>194</w:t>
            </w:r>
          </w:p>
        </w:tc>
        <w:tc>
          <w:tcPr>
            <w:tcW w:w="1254" w:type="dxa"/>
            <w:tcMar>
              <w:top w:w="0" w:type="dxa"/>
              <w:left w:w="108" w:type="dxa"/>
              <w:bottom w:w="0" w:type="dxa"/>
              <w:right w:w="108" w:type="dxa"/>
            </w:tcMar>
            <w:hideMark/>
          </w:tcPr>
          <w:p w14:paraId="7FFAEC20" w14:textId="3629A767" w:rsidR="00805633" w:rsidRPr="00AC3478" w:rsidRDefault="00275E92" w:rsidP="000475EA">
            <w:pPr>
              <w:jc w:val="center"/>
              <w:rPr>
                <w:rFonts w:eastAsia="Calibri" w:cs="Aptos"/>
                <w:sz w:val="22"/>
                <w:szCs w:val="22"/>
                <w14:ligatures w14:val="standardContextual"/>
              </w:rPr>
            </w:pPr>
            <w:r>
              <w:rPr>
                <w:rFonts w:eastAsia="Calibri" w:cs="Aptos"/>
                <w:sz w:val="22"/>
                <w:szCs w:val="22"/>
                <w14:ligatures w14:val="standardContextual"/>
              </w:rPr>
              <w:t>680</w:t>
            </w:r>
          </w:p>
        </w:tc>
      </w:tr>
    </w:tbl>
    <w:p w14:paraId="0648347A" w14:textId="2EC4EC70" w:rsidR="002B4A17" w:rsidRDefault="00425515" w:rsidP="000B2554">
      <w:pPr>
        <w:spacing w:before="120" w:after="120"/>
      </w:pPr>
      <w:r>
        <w:t>Further data from the 2024-25 financial year reveals</w:t>
      </w:r>
      <w:r w:rsidR="002D1488">
        <w:t xml:space="preserve"> that of all people we assisted</w:t>
      </w:r>
      <w:r>
        <w:t>:</w:t>
      </w:r>
    </w:p>
    <w:p w14:paraId="58AB783B" w14:textId="57050070" w:rsidR="00425515" w:rsidRDefault="004D7A1D" w:rsidP="008E5E67">
      <w:pPr>
        <w:pStyle w:val="ListParagraph"/>
        <w:numPr>
          <w:ilvl w:val="0"/>
          <w:numId w:val="15"/>
        </w:numPr>
        <w:spacing w:before="120" w:after="120"/>
      </w:pPr>
      <w:r>
        <w:t>1</w:t>
      </w:r>
      <w:r w:rsidR="002D1488">
        <w:t>8.9</w:t>
      </w:r>
      <w:r>
        <w:t>% identified as Aboriginal and Torres Strait Islander</w:t>
      </w:r>
    </w:p>
    <w:p w14:paraId="5914ABE0" w14:textId="62561EC0" w:rsidR="004D7A1D" w:rsidRDefault="004D7A1D" w:rsidP="008E5E67">
      <w:pPr>
        <w:pStyle w:val="ListParagraph"/>
        <w:numPr>
          <w:ilvl w:val="0"/>
          <w:numId w:val="15"/>
        </w:numPr>
        <w:spacing w:before="120" w:after="120"/>
      </w:pPr>
      <w:r>
        <w:t>93</w:t>
      </w:r>
      <w:r w:rsidR="002D1488">
        <w:t>.2</w:t>
      </w:r>
      <w:r>
        <w:t xml:space="preserve">% </w:t>
      </w:r>
      <w:r w:rsidR="002D1488">
        <w:t>were people experiencing financial disadvantage</w:t>
      </w:r>
    </w:p>
    <w:p w14:paraId="3CA10FC7" w14:textId="4BE6860C" w:rsidR="002D1488" w:rsidRDefault="002D1488" w:rsidP="008E5E67">
      <w:pPr>
        <w:pStyle w:val="ListParagraph"/>
        <w:numPr>
          <w:ilvl w:val="0"/>
          <w:numId w:val="15"/>
        </w:numPr>
        <w:spacing w:before="120" w:after="120"/>
      </w:pPr>
      <w:r>
        <w:t xml:space="preserve">18.1% were people experiencing </w:t>
      </w:r>
      <w:r w:rsidR="006D57B3">
        <w:t>or at risk of homelessness</w:t>
      </w:r>
    </w:p>
    <w:p w14:paraId="60E663F4" w14:textId="66F75462" w:rsidR="006D57B3" w:rsidRDefault="006D57B3" w:rsidP="008E5E67">
      <w:pPr>
        <w:pStyle w:val="ListParagraph"/>
        <w:numPr>
          <w:ilvl w:val="0"/>
          <w:numId w:val="15"/>
        </w:numPr>
        <w:spacing w:before="120" w:after="120"/>
      </w:pPr>
      <w:r>
        <w:t>33.8% were people experiencing domestic and family violence</w:t>
      </w:r>
    </w:p>
    <w:p w14:paraId="2B32F0FD" w14:textId="2F8C2E01" w:rsidR="006D57B3" w:rsidRDefault="006D57B3" w:rsidP="008E5E67">
      <w:pPr>
        <w:pStyle w:val="ListParagraph"/>
        <w:numPr>
          <w:ilvl w:val="0"/>
          <w:numId w:val="15"/>
        </w:numPr>
        <w:spacing w:before="120" w:after="120"/>
      </w:pPr>
      <w:r>
        <w:t>30.6% were people living in regional or remote areas of Queensland</w:t>
      </w:r>
    </w:p>
    <w:p w14:paraId="591E8CC4" w14:textId="1F406988" w:rsidR="00C36F6B" w:rsidRDefault="00724CEB" w:rsidP="005F2213">
      <w:r>
        <w:lastRenderedPageBreak/>
        <w:t xml:space="preserve">This submission is grounded in the collective experience of QAI’s </w:t>
      </w:r>
      <w:r w:rsidR="001D7A60">
        <w:t>solicitors,</w:t>
      </w:r>
      <w:r w:rsidR="00582961">
        <w:t xml:space="preserve"> and it reflects the experiences of the disability advocacy sector across Queensland.</w:t>
      </w:r>
      <w:r w:rsidR="00024773">
        <w:t xml:space="preserve"> </w:t>
      </w:r>
    </w:p>
    <w:p w14:paraId="2F93588E" w14:textId="28658620" w:rsidR="0018673A" w:rsidRDefault="00F750D1" w:rsidP="0075651E">
      <w:pPr>
        <w:pStyle w:val="QAIHeading2"/>
      </w:pPr>
      <w:r>
        <w:t>A right to free and independent legal representation</w:t>
      </w:r>
    </w:p>
    <w:p w14:paraId="76CE56BA" w14:textId="19D32222" w:rsidR="002D2B4B" w:rsidRPr="002D2B4B" w:rsidRDefault="002D2B4B" w:rsidP="000B2554">
      <w:pPr>
        <w:spacing w:before="120" w:after="120"/>
      </w:pPr>
      <w:r w:rsidRPr="002D2B4B">
        <w:t>The importance of legal representation as a means of accessing justice for persons whose decision-making capacity is at issue has been broadly recognised by the Australian Government. The United Nations’ ‘Principles for the protection of persons with mental illness and the improvement of mental health care’ was adopted by the General Assembly on 17 December 1991. The Australian government and the Australian Human Rights and Equal Opportunities Commission (as it then was) played a major role in drafting these principles.</w:t>
      </w:r>
      <w:r w:rsidR="00924F1B">
        <w:rPr>
          <w:rStyle w:val="FootnoteReference"/>
        </w:rPr>
        <w:footnoteReference w:id="9"/>
      </w:r>
      <w:r w:rsidRPr="002D2B4B">
        <w:t xml:space="preserve"> These principles specify the right of a person whose capacity is at issue to be entitled to legal representation is both a basic right and fundamental freedom. </w:t>
      </w:r>
    </w:p>
    <w:p w14:paraId="64E20618" w14:textId="670B6F5B" w:rsidR="002D2B4B" w:rsidRPr="002D2B4B" w:rsidRDefault="002D2B4B" w:rsidP="000B2554">
      <w:pPr>
        <w:spacing w:before="120" w:after="120"/>
      </w:pPr>
      <w:r w:rsidRPr="002D2B4B">
        <w:t xml:space="preserve">The general principles in the </w:t>
      </w:r>
      <w:r w:rsidR="00A86A72" w:rsidRPr="00A86A72">
        <w:t>GAA</w:t>
      </w:r>
      <w:r w:rsidR="00495780">
        <w:t xml:space="preserve"> </w:t>
      </w:r>
      <w:r w:rsidRPr="002D2B4B">
        <w:t>were amended in November 2020 to align more closely with the United Nations’ Convention on the Rights of Persons with a Disability</w:t>
      </w:r>
      <w:r w:rsidR="001F45A8">
        <w:t xml:space="preserve"> (</w:t>
      </w:r>
      <w:r w:rsidR="001F45A8" w:rsidRPr="001F45A8">
        <w:rPr>
          <w:b/>
          <w:bCs/>
        </w:rPr>
        <w:t>CRPD</w:t>
      </w:r>
      <w:r w:rsidR="001F45A8">
        <w:t>)</w:t>
      </w:r>
      <w:r w:rsidRPr="002D2B4B">
        <w:t xml:space="preserve"> and to put a greater emphasis on the participation by adults with impaired capacity in decision-making about their own lives. General Principle 8 expressly recognises that:</w:t>
      </w:r>
      <w:r w:rsidR="003F70F7">
        <w:rPr>
          <w:rStyle w:val="FootnoteReference"/>
        </w:rPr>
        <w:footnoteReference w:id="10"/>
      </w:r>
      <w:r w:rsidRPr="002D2B4B">
        <w:t xml:space="preserve"> </w:t>
      </w:r>
    </w:p>
    <w:p w14:paraId="4E10AF8B" w14:textId="7F0714D4" w:rsidR="002D2B4B" w:rsidRPr="002D2B4B" w:rsidRDefault="002D2B4B" w:rsidP="000B2554">
      <w:pPr>
        <w:pStyle w:val="ListParagraph"/>
        <w:numPr>
          <w:ilvl w:val="0"/>
          <w:numId w:val="5"/>
        </w:numPr>
        <w:spacing w:before="120" w:after="120"/>
      </w:pPr>
      <w:r w:rsidRPr="002D2B4B">
        <w:t xml:space="preserve">an adult’s right to participate, to the greatest extent practicable, in decisions affecting the adult’s life must be recognised and taken into </w:t>
      </w:r>
      <w:proofErr w:type="gramStart"/>
      <w:r w:rsidRPr="002D2B4B">
        <w:t>account;</w:t>
      </w:r>
      <w:proofErr w:type="gramEnd"/>
      <w:r w:rsidRPr="002D2B4B">
        <w:t xml:space="preserve"> </w:t>
      </w:r>
    </w:p>
    <w:p w14:paraId="712B45C1" w14:textId="715B88E0" w:rsidR="002D2B4B" w:rsidRPr="002D2B4B" w:rsidRDefault="002D2B4B" w:rsidP="000B2554">
      <w:pPr>
        <w:pStyle w:val="ListParagraph"/>
        <w:numPr>
          <w:ilvl w:val="0"/>
          <w:numId w:val="5"/>
        </w:numPr>
        <w:spacing w:before="120" w:after="120"/>
      </w:pPr>
      <w:r w:rsidRPr="002D2B4B">
        <w:t xml:space="preserve">an adult must be given the support and access to information necessary to enable the adult to make or participate in decisions affecting the adult’s life; and </w:t>
      </w:r>
    </w:p>
    <w:p w14:paraId="776BBF05" w14:textId="09AE29B7" w:rsidR="002D2B4B" w:rsidRPr="002D2B4B" w:rsidRDefault="002D2B4B" w:rsidP="000B2554">
      <w:pPr>
        <w:pStyle w:val="ListParagraph"/>
        <w:numPr>
          <w:ilvl w:val="0"/>
          <w:numId w:val="5"/>
        </w:numPr>
        <w:spacing w:before="120" w:after="120"/>
      </w:pPr>
      <w:r w:rsidRPr="002D2B4B">
        <w:t xml:space="preserve">an adult must be given the support and access to information necessary to enable the adult to make or participate in decisions affecting the adult’s life. </w:t>
      </w:r>
    </w:p>
    <w:p w14:paraId="557C049A" w14:textId="2BC4DBEA" w:rsidR="00F3250D" w:rsidRDefault="002D2B4B" w:rsidP="000B2554">
      <w:pPr>
        <w:spacing w:before="120" w:after="120"/>
      </w:pPr>
      <w:r w:rsidRPr="002D2B4B">
        <w:t>The desirability of an automatic right to legal representation in guardianship proceedings was considered by the Australian Guardianship and Administration Council (</w:t>
      </w:r>
      <w:r w:rsidRPr="002C1BD8">
        <w:rPr>
          <w:b/>
          <w:bCs/>
        </w:rPr>
        <w:t>the Council</w:t>
      </w:r>
      <w:r w:rsidRPr="002D2B4B">
        <w:t xml:space="preserve">). In June 2019, the Council published guidelines for Australian Tribunals on maximising the participation of the </w:t>
      </w:r>
      <w:r w:rsidR="007866D8" w:rsidRPr="002D2B4B">
        <w:t xml:space="preserve">person </w:t>
      </w:r>
      <w:r w:rsidR="000B2554" w:rsidRPr="002D2B4B">
        <w:t>subject to</w:t>
      </w:r>
      <w:r w:rsidR="065DA666" w:rsidRPr="002D2B4B">
        <w:t xml:space="preserve"> the guardianship order in</w:t>
      </w:r>
      <w:r w:rsidRPr="002D2B4B">
        <w:t xml:space="preserve"> guardianship proceedings.</w:t>
      </w:r>
      <w:r w:rsidR="00E5281B">
        <w:rPr>
          <w:rStyle w:val="FootnoteReference"/>
        </w:rPr>
        <w:footnoteReference w:id="11"/>
      </w:r>
      <w:r w:rsidR="00DB08C7">
        <w:t xml:space="preserve"> </w:t>
      </w:r>
      <w:r w:rsidRPr="002D2B4B">
        <w:t xml:space="preserve">Several </w:t>
      </w:r>
      <w:r w:rsidRPr="002D2B4B">
        <w:lastRenderedPageBreak/>
        <w:t xml:space="preserve">organisations made submissions that the guidelines should be amended to give legal practitioners an automatic right to represent the </w:t>
      </w:r>
      <w:r w:rsidR="734B7CC1" w:rsidRPr="002D2B4B">
        <w:t>person</w:t>
      </w:r>
      <w:r w:rsidRPr="002D2B4B">
        <w:t xml:space="preserve"> concerned without leave. </w:t>
      </w:r>
      <w:r w:rsidR="007D5442">
        <w:t>T</w:t>
      </w:r>
      <w:r w:rsidRPr="002D2B4B">
        <w:t xml:space="preserve">he Law Council of Australia noted </w:t>
      </w:r>
      <w:r w:rsidR="007D5442">
        <w:t xml:space="preserve">in their submission </w:t>
      </w:r>
      <w:r w:rsidRPr="002D2B4B">
        <w:t>that the involvement of legal practitioners in proceedings can significantly enhance the efficiency and fairness of proceedings and improve the adult’s experience and that, where legal representation is denied, there is a serious risk of unfairness or injustice for vulnerable parties, pointing to ‘strong indications' that self-represented people face worse outcomes in proceedings.</w:t>
      </w:r>
      <w:r w:rsidR="00447782">
        <w:rPr>
          <w:rStyle w:val="FootnoteReference"/>
        </w:rPr>
        <w:footnoteReference w:id="12"/>
      </w:r>
    </w:p>
    <w:p w14:paraId="190F877B" w14:textId="71F42E21" w:rsidR="00447782" w:rsidRDefault="005F7486" w:rsidP="000B2554">
      <w:pPr>
        <w:spacing w:before="120" w:after="120"/>
      </w:pPr>
      <w:r>
        <w:t>T</w:t>
      </w:r>
      <w:r w:rsidRPr="005F7486">
        <w:t xml:space="preserve">he lack of an automatic right to legal representation in Queensland's guardianship regime can be contrasted </w:t>
      </w:r>
      <w:r w:rsidR="029BE011" w:rsidRPr="005F7486">
        <w:t>with</w:t>
      </w:r>
      <w:r w:rsidRPr="005F7486">
        <w:t xml:space="preserve"> the position under the </w:t>
      </w:r>
      <w:r w:rsidRPr="4EF91737">
        <w:rPr>
          <w:i/>
          <w:iCs/>
        </w:rPr>
        <w:t xml:space="preserve">Mental Health Act 2016 </w:t>
      </w:r>
      <w:r w:rsidRPr="005F7486">
        <w:t>(Qld) (</w:t>
      </w:r>
      <w:r w:rsidRPr="005F7486">
        <w:rPr>
          <w:b/>
          <w:bCs/>
        </w:rPr>
        <w:t>MH Act 2016</w:t>
      </w:r>
      <w:r w:rsidRPr="005F7486">
        <w:t xml:space="preserve">). The MH Act 2016 was enacted on 4 March 2016 and, upon taking effect on 5 March 2017, repealed the previous </w:t>
      </w:r>
      <w:r w:rsidRPr="4EF91737">
        <w:rPr>
          <w:i/>
          <w:iCs/>
        </w:rPr>
        <w:t xml:space="preserve">Mental Health Act 2000 </w:t>
      </w:r>
      <w:r w:rsidRPr="005F7486">
        <w:t>(Qld) (</w:t>
      </w:r>
      <w:r w:rsidRPr="005F7486">
        <w:rPr>
          <w:b/>
          <w:bCs/>
        </w:rPr>
        <w:t>MH Act 2000</w:t>
      </w:r>
      <w:r w:rsidRPr="005F7486">
        <w:t xml:space="preserve">). One of the significant divergences between the MH Act 2016 and its predecessor is that the MH Act 2016 introduced a right to </w:t>
      </w:r>
      <w:r w:rsidRPr="4EF91737">
        <w:rPr>
          <w:i/>
          <w:iCs/>
        </w:rPr>
        <w:t xml:space="preserve">free </w:t>
      </w:r>
      <w:r w:rsidRPr="005F7486">
        <w:t>legal representation for a person the subject of certain</w:t>
      </w:r>
      <w:r w:rsidR="00385E1A">
        <w:t xml:space="preserve"> </w:t>
      </w:r>
      <w:r w:rsidR="00385E1A" w:rsidRPr="00385E1A">
        <w:t>proceedings before the Mental Health Review Tribunal (</w:t>
      </w:r>
      <w:r w:rsidR="00385E1A" w:rsidRPr="00385E1A">
        <w:rPr>
          <w:b/>
          <w:bCs/>
        </w:rPr>
        <w:t>MHRT</w:t>
      </w:r>
      <w:r w:rsidR="00385E1A" w:rsidRPr="00385E1A">
        <w:t>).</w:t>
      </w:r>
      <w:r w:rsidR="007504D5">
        <w:rPr>
          <w:rStyle w:val="FootnoteReference"/>
        </w:rPr>
        <w:footnoteReference w:id="13"/>
      </w:r>
      <w:r w:rsidR="00385E1A" w:rsidRPr="00385E1A">
        <w:t xml:space="preserve"> While under the MH Act 2000 patients had an automatic right to legal representation at hearings before the MHRT, Queensland's rates of legal representation before the MHRT were among the lowest in Australia</w:t>
      </w:r>
      <w:r w:rsidR="00F6114E">
        <w:t xml:space="preserve"> (2%)</w:t>
      </w:r>
      <w:r w:rsidR="00385E1A" w:rsidRPr="00385E1A">
        <w:t>.</w:t>
      </w:r>
      <w:r w:rsidR="00385E1A">
        <w:rPr>
          <w:rStyle w:val="FootnoteReference"/>
        </w:rPr>
        <w:footnoteReference w:id="14"/>
      </w:r>
      <w:r w:rsidR="005D72DC">
        <w:t xml:space="preserve"> In the 2024-25 financial year,</w:t>
      </w:r>
      <w:r w:rsidR="00AB65BD">
        <w:t xml:space="preserve"> over 10% of all MHRT</w:t>
      </w:r>
      <w:r w:rsidR="006F2822">
        <w:t xml:space="preserve"> hearin</w:t>
      </w:r>
      <w:r w:rsidR="00AF68D5">
        <w:t>gs had a legal representative appointed for</w:t>
      </w:r>
      <w:r w:rsidR="00B02A04">
        <w:t xml:space="preserve"> </w:t>
      </w:r>
      <w:r w:rsidR="003439B3">
        <w:t>the patient</w:t>
      </w:r>
      <w:r w:rsidR="00AF68D5">
        <w:t>.</w:t>
      </w:r>
      <w:r w:rsidR="00AF68D5">
        <w:rPr>
          <w:rStyle w:val="FootnoteReference"/>
        </w:rPr>
        <w:footnoteReference w:id="15"/>
      </w:r>
    </w:p>
    <w:p w14:paraId="63A468CC" w14:textId="77777777" w:rsidR="00324E89" w:rsidRPr="00FF7581" w:rsidRDefault="00324E89" w:rsidP="000B2554">
      <w:pPr>
        <w:spacing w:before="120" w:after="120"/>
      </w:pPr>
      <w:r w:rsidRPr="00FF7581">
        <w:t xml:space="preserve">Guardianship </w:t>
      </w:r>
      <w:r>
        <w:t>is QCAT’s second largest jurisdiction,</w:t>
      </w:r>
      <w:r w:rsidRPr="00FF7581">
        <w:t xml:space="preserve"> account</w:t>
      </w:r>
      <w:r>
        <w:t>ing</w:t>
      </w:r>
      <w:r w:rsidRPr="00FF7581">
        <w:t xml:space="preserve"> for </w:t>
      </w:r>
      <w:r>
        <w:t xml:space="preserve">the over 37% of </w:t>
      </w:r>
      <w:r w:rsidRPr="00FF7581">
        <w:t>QCAT's workload</w:t>
      </w:r>
      <w:r>
        <w:t>, following the minor civil disputes accounting for 52%</w:t>
      </w:r>
      <w:r w:rsidRPr="00FF7581">
        <w:t>.</w:t>
      </w:r>
      <w:r>
        <w:rPr>
          <w:rStyle w:val="FootnoteReference"/>
        </w:rPr>
        <w:footnoteReference w:id="16"/>
      </w:r>
      <w:r w:rsidRPr="00FF7581">
        <w:t xml:space="preserve"> In QCAT's Annual Report</w:t>
      </w:r>
      <w:r>
        <w:t xml:space="preserve"> 2024-25</w:t>
      </w:r>
      <w:r w:rsidRPr="00FF7581">
        <w:t>, it was acknowledged that the guardianship jurisdiction is a complex one requiring significant resources from both QCAT and the Registry</w:t>
      </w:r>
      <w:r>
        <w:t>, with a demand that is likely to increase</w:t>
      </w:r>
      <w:r w:rsidRPr="00FF7581">
        <w:t>.</w:t>
      </w:r>
      <w:r>
        <w:rPr>
          <w:rStyle w:val="FootnoteReference"/>
        </w:rPr>
        <w:footnoteReference w:id="17"/>
      </w:r>
      <w:r w:rsidRPr="00FF7581">
        <w:t xml:space="preserve"> </w:t>
      </w:r>
    </w:p>
    <w:p w14:paraId="5875EADA" w14:textId="3F9AAE7C" w:rsidR="00FF7581" w:rsidRPr="00FF7581" w:rsidRDefault="00B37415" w:rsidP="000B2554">
      <w:pPr>
        <w:spacing w:before="120" w:after="120"/>
      </w:pPr>
      <w:r>
        <w:lastRenderedPageBreak/>
        <w:t>In 2016, t</w:t>
      </w:r>
      <w:r w:rsidR="00FF7581" w:rsidRPr="00FF7581">
        <w:t>he Public Advocate recommended that the adult concerned be provided with representation in guardianship proceedings before QCAT</w:t>
      </w:r>
      <w:r w:rsidR="00B5367F">
        <w:t>.</w:t>
      </w:r>
      <w:r>
        <w:rPr>
          <w:rStyle w:val="FootnoteReference"/>
        </w:rPr>
        <w:footnoteReference w:id="18"/>
      </w:r>
      <w:r w:rsidR="002C30DA">
        <w:t xml:space="preserve"> </w:t>
      </w:r>
      <w:r w:rsidR="008550B3">
        <w:t>T</w:t>
      </w:r>
      <w:r w:rsidR="00D31366">
        <w:t>here</w:t>
      </w:r>
      <w:r w:rsidR="00751055">
        <w:t xml:space="preserve"> has been a steady increase in</w:t>
      </w:r>
      <w:r w:rsidR="007C20C3">
        <w:t xml:space="preserve"> the </w:t>
      </w:r>
      <w:r w:rsidR="00FF7581" w:rsidRPr="00FF7581">
        <w:t xml:space="preserve">number of </w:t>
      </w:r>
      <w:r w:rsidR="002157A3">
        <w:t>orders appoint</w:t>
      </w:r>
      <w:r w:rsidR="00F11EC8">
        <w:t>ing</w:t>
      </w:r>
      <w:r w:rsidR="002157A3">
        <w:t xml:space="preserve"> a guardian or an administrator</w:t>
      </w:r>
      <w:r w:rsidR="008550B3">
        <w:t xml:space="preserve"> in the last five years</w:t>
      </w:r>
      <w:r w:rsidR="00FF7581" w:rsidRPr="00FF7581">
        <w:t>.</w:t>
      </w:r>
      <w:r w:rsidR="002157A3">
        <w:rPr>
          <w:rStyle w:val="FootnoteReference"/>
        </w:rPr>
        <w:footnoteReference w:id="19"/>
      </w:r>
      <w:r w:rsidR="008550B3">
        <w:t xml:space="preserve"> Yet, people navigating guardianship matters before QCAT continue without a right to legal representation.</w:t>
      </w:r>
    </w:p>
    <w:p w14:paraId="28BF3457" w14:textId="78C3A456" w:rsidR="008B37FC" w:rsidRDefault="00FF7581" w:rsidP="000B2554">
      <w:pPr>
        <w:spacing w:before="120" w:after="120"/>
      </w:pPr>
      <w:r w:rsidRPr="00FF7581">
        <w:t>At present,</w:t>
      </w:r>
      <w:r w:rsidR="00001454">
        <w:t xml:space="preserve"> </w:t>
      </w:r>
      <w:r w:rsidR="00117F45">
        <w:t>there is no data publicly available on the number of legal representations</w:t>
      </w:r>
      <w:r w:rsidR="008E4F2A">
        <w:t xml:space="preserve"> </w:t>
      </w:r>
      <w:r w:rsidR="005D154D">
        <w:t>at QCAT</w:t>
      </w:r>
      <w:r w:rsidR="008E4F2A">
        <w:t xml:space="preserve">, which </w:t>
      </w:r>
      <w:r w:rsidR="005D154D">
        <w:t xml:space="preserve">limits </w:t>
      </w:r>
      <w:r w:rsidR="00432D32">
        <w:t>our understanding of the current landscape</w:t>
      </w:r>
      <w:r w:rsidR="008E4F2A">
        <w:t xml:space="preserve">. </w:t>
      </w:r>
      <w:r w:rsidR="0018796A">
        <w:t>T</w:t>
      </w:r>
      <w:r w:rsidR="008E4F2A">
        <w:t>he Guardianship</w:t>
      </w:r>
      <w:r w:rsidR="00352293">
        <w:t xml:space="preserve"> and administration – Issues paper 4 </w:t>
      </w:r>
      <w:r w:rsidR="00432D32">
        <w:t>stated</w:t>
      </w:r>
      <w:r w:rsidR="00352293">
        <w:t xml:space="preserve"> that in the 2024-25 financial year</w:t>
      </w:r>
      <w:r w:rsidR="00022250">
        <w:t>, there were 214 applications for leave to be represented</w:t>
      </w:r>
      <w:r w:rsidR="00432D32">
        <w:t>,</w:t>
      </w:r>
      <w:r w:rsidR="00022250">
        <w:t xml:space="preserve"> with a note that it does not necessarily mean</w:t>
      </w:r>
      <w:r w:rsidR="0053461C">
        <w:t xml:space="preserve"> applications were granted.</w:t>
      </w:r>
      <w:r w:rsidR="00401F8B">
        <w:rPr>
          <w:rStyle w:val="FootnoteReference"/>
        </w:rPr>
        <w:footnoteReference w:id="20"/>
      </w:r>
      <w:r w:rsidR="0053461C">
        <w:t xml:space="preserve"> </w:t>
      </w:r>
      <w:r w:rsidR="00CE728C">
        <w:t>This means that a</w:t>
      </w:r>
      <w:r w:rsidRPr="00FF7581">
        <w:t xml:space="preserve"> small minority of persons faced with a guardianship and/or administration application </w:t>
      </w:r>
      <w:r w:rsidR="00432D32">
        <w:t xml:space="preserve">may </w:t>
      </w:r>
      <w:r w:rsidRPr="00FF7581">
        <w:t>have</w:t>
      </w:r>
      <w:r w:rsidR="00432D32">
        <w:t xml:space="preserve"> had</w:t>
      </w:r>
      <w:r w:rsidRPr="00FF7581">
        <w:t xml:space="preserve"> legal representation. This is concerning, having regard to the vulnerability of this cohort and the significant impact that the appointment of a substitute decision-maker has on the person’s human rights. </w:t>
      </w:r>
    </w:p>
    <w:p w14:paraId="3A1A1F77" w14:textId="6ABD49A7" w:rsidR="00FF7581" w:rsidRDefault="00FF7581" w:rsidP="000B2554">
      <w:pPr>
        <w:spacing w:before="120" w:after="120"/>
      </w:pPr>
      <w:r w:rsidRPr="00FF7581">
        <w:t xml:space="preserve">The limited availability of free and independent legal assistance for guardianship matters is a fundamental barrier to the adult concerned accessing justice. </w:t>
      </w:r>
      <w:r w:rsidR="00A64F82" w:rsidRPr="00A64F82">
        <w:t>Currently, community legal centres</w:t>
      </w:r>
      <w:r w:rsidR="00866069">
        <w:t xml:space="preserve"> (</w:t>
      </w:r>
      <w:r w:rsidR="00866069" w:rsidRPr="00866069">
        <w:rPr>
          <w:b/>
          <w:bCs/>
        </w:rPr>
        <w:t>CLCs</w:t>
      </w:r>
      <w:r w:rsidR="00866069">
        <w:t>)</w:t>
      </w:r>
      <w:r w:rsidR="00A64F82" w:rsidRPr="00A64F82">
        <w:t xml:space="preserve"> are not funded to </w:t>
      </w:r>
      <w:r w:rsidR="00A70540">
        <w:t xml:space="preserve">provide separate representation for </w:t>
      </w:r>
      <w:r w:rsidR="00F74B13">
        <w:t>a</w:t>
      </w:r>
      <w:r w:rsidR="00A70540">
        <w:t>dults under</w:t>
      </w:r>
      <w:r w:rsidR="00A64F82" w:rsidRPr="00A64F82">
        <w:t xml:space="preserve"> s</w:t>
      </w:r>
      <w:r w:rsidR="00584874">
        <w:t>ection</w:t>
      </w:r>
      <w:r w:rsidR="00A64F82" w:rsidRPr="00A64F82">
        <w:t xml:space="preserve"> 125</w:t>
      </w:r>
      <w:r w:rsidR="00584874">
        <w:t xml:space="preserve"> of the GAA</w:t>
      </w:r>
      <w:r w:rsidR="00A64F82" w:rsidRPr="00A64F82">
        <w:t>.</w:t>
      </w:r>
      <w:r w:rsidR="004B7B1F">
        <w:t xml:space="preserve"> It is our understanding that </w:t>
      </w:r>
      <w:r w:rsidR="004B7B1F" w:rsidRPr="00FF7581">
        <w:t xml:space="preserve">QAI and ADA Law are the only specialist </w:t>
      </w:r>
      <w:r w:rsidR="004B7B1F">
        <w:t>CLCs</w:t>
      </w:r>
      <w:r w:rsidR="004B7B1F" w:rsidRPr="00FF7581">
        <w:t xml:space="preserve"> </w:t>
      </w:r>
      <w:r w:rsidR="004B7B1F">
        <w:t>who provide legal representation under section 125 of the GAA</w:t>
      </w:r>
      <w:r w:rsidR="004B7B1F" w:rsidRPr="00FF7581">
        <w:t xml:space="preserve"> in Queensland</w:t>
      </w:r>
      <w:r w:rsidR="004B7B1F">
        <w:t xml:space="preserve">. </w:t>
      </w:r>
      <w:r w:rsidR="00A64F82" w:rsidRPr="00A64F82">
        <w:t xml:space="preserve">This makes it difficult for </w:t>
      </w:r>
      <w:r w:rsidR="008B34A5">
        <w:t>CLCs</w:t>
      </w:r>
      <w:r w:rsidR="00A64F82" w:rsidRPr="00A64F82">
        <w:t xml:space="preserve"> to take on these types of matters</w:t>
      </w:r>
      <w:r w:rsidR="003B5911">
        <w:t xml:space="preserve"> as they</w:t>
      </w:r>
      <w:r w:rsidR="00A64F82" w:rsidRPr="00A64F82">
        <w:t xml:space="preserve"> are resource intensive matters </w:t>
      </w:r>
      <w:r w:rsidR="008B34A5">
        <w:t>and</w:t>
      </w:r>
      <w:r w:rsidR="00FD549E">
        <w:t xml:space="preserve"> assistance is</w:t>
      </w:r>
      <w:r w:rsidR="008B34A5">
        <w:t xml:space="preserve"> best</w:t>
      </w:r>
      <w:r w:rsidR="00FD549E">
        <w:t xml:space="preserve"> provided face to face. </w:t>
      </w:r>
      <w:r w:rsidR="00A64F82" w:rsidRPr="00A64F82">
        <w:t>CLCs can find they are typically spending more hours on s</w:t>
      </w:r>
      <w:r w:rsidR="00FD549E">
        <w:t>ection</w:t>
      </w:r>
      <w:r w:rsidR="00A64F82" w:rsidRPr="00A64F82">
        <w:t xml:space="preserve"> 125 appointments than for other clients, especially if they are complex hearings that take several days. </w:t>
      </w:r>
      <w:r w:rsidR="007633AB">
        <w:t>CLC</w:t>
      </w:r>
      <w:r w:rsidR="00A64F82" w:rsidRPr="00A64F82">
        <w:t xml:space="preserve"> </w:t>
      </w:r>
      <w:r w:rsidR="00354C87">
        <w:t>contracts with government</w:t>
      </w:r>
      <w:r w:rsidR="00A64F82" w:rsidRPr="00A64F82">
        <w:t xml:space="preserve"> require us to perform a certain number of hearings per year (rather than being measured by hours spent on matters). From a funding perspective, we may appear to be less productive if we take on a complex </w:t>
      </w:r>
      <w:r w:rsidR="00987937" w:rsidRPr="00A64F82">
        <w:t>two-day</w:t>
      </w:r>
      <w:r w:rsidR="00A64F82" w:rsidRPr="00A64F82">
        <w:t xml:space="preserve"> s</w:t>
      </w:r>
      <w:r w:rsidR="00987937">
        <w:t>ection</w:t>
      </w:r>
      <w:r w:rsidR="00A64F82" w:rsidRPr="00A64F82">
        <w:t xml:space="preserve"> 125 hearing than if we had assisted several clients with less complex and shorter hearings over those 2 days.   </w:t>
      </w:r>
    </w:p>
    <w:p w14:paraId="74E8CC38" w14:textId="1DCBF72F" w:rsidR="0092691F" w:rsidRDefault="006E691A" w:rsidP="000B2554">
      <w:pPr>
        <w:spacing w:before="120" w:after="120"/>
      </w:pPr>
      <w:r>
        <w:t>Other CLCs</w:t>
      </w:r>
      <w:r w:rsidR="006102F1">
        <w:t>,</w:t>
      </w:r>
      <w:r>
        <w:t xml:space="preserve"> as well as disability advocacy organisations</w:t>
      </w:r>
      <w:r w:rsidR="006102F1">
        <w:t>,</w:t>
      </w:r>
      <w:r>
        <w:t xml:space="preserve"> also provide</w:t>
      </w:r>
      <w:r w:rsidRPr="00FF7581">
        <w:t xml:space="preserve"> free legal</w:t>
      </w:r>
      <w:r>
        <w:t xml:space="preserve"> and non-legal</w:t>
      </w:r>
      <w:r w:rsidRPr="00FF7581">
        <w:t xml:space="preserve"> assistance in this space</w:t>
      </w:r>
      <w:r>
        <w:t xml:space="preserve"> when they can. </w:t>
      </w:r>
      <w:r w:rsidR="0092691F" w:rsidRPr="0092691F">
        <w:t xml:space="preserve">The lack of free and independent legal services available </w:t>
      </w:r>
      <w:r w:rsidR="0092691F" w:rsidRPr="0092691F">
        <w:lastRenderedPageBreak/>
        <w:t xml:space="preserve">to meet present demand in the guardianship space exacerbates existing disadvantage experienced by people </w:t>
      </w:r>
      <w:r w:rsidR="009E63E2">
        <w:t>subject to</w:t>
      </w:r>
      <w:r w:rsidR="0092691F" w:rsidRPr="0092691F">
        <w:t xml:space="preserve"> guardianship applications. In </w:t>
      </w:r>
      <w:r w:rsidR="00277D18">
        <w:t>our</w:t>
      </w:r>
      <w:r w:rsidR="0092691F" w:rsidRPr="0092691F">
        <w:t xml:space="preserve"> experience, </w:t>
      </w:r>
      <w:proofErr w:type="gramStart"/>
      <w:r w:rsidR="0092691F" w:rsidRPr="0092691F">
        <w:t>the majority of</w:t>
      </w:r>
      <w:proofErr w:type="gramEnd"/>
      <w:r w:rsidR="0092691F" w:rsidRPr="0092691F">
        <w:t xml:space="preserve"> </w:t>
      </w:r>
      <w:r w:rsidR="0053098B">
        <w:t xml:space="preserve">these </w:t>
      </w:r>
      <w:r w:rsidR="0092691F" w:rsidRPr="0092691F">
        <w:t xml:space="preserve">people are on the Disability Support Pension and cannot afford to pay for legal representation (assuming leave to be represented is obtained). </w:t>
      </w:r>
    </w:p>
    <w:p w14:paraId="3057E2A9" w14:textId="7A3036F0" w:rsidR="0089323C" w:rsidRPr="0092691F" w:rsidRDefault="0089323C" w:rsidP="000B2554">
      <w:pPr>
        <w:spacing w:before="120" w:after="120"/>
      </w:pPr>
      <w:r w:rsidRPr="00FF7581">
        <w:t>Further, there are significant concerns with both procedural and substantive fairness with many of these applications</w:t>
      </w:r>
      <w:r w:rsidR="00B2050C">
        <w:t xml:space="preserve"> (which we will address in the next section)</w:t>
      </w:r>
      <w:r w:rsidRPr="00FF7581">
        <w:t>,</w:t>
      </w:r>
      <w:r>
        <w:t xml:space="preserve"> </w:t>
      </w:r>
      <w:r w:rsidRPr="0092691F">
        <w:t xml:space="preserve">particularly when considered through the lens of the </w:t>
      </w:r>
      <w:r w:rsidRPr="0092691F">
        <w:rPr>
          <w:i/>
          <w:iCs/>
        </w:rPr>
        <w:t xml:space="preserve">Human Rights Act 2019 </w:t>
      </w:r>
      <w:r w:rsidRPr="0092691F">
        <w:t>(Qld)</w:t>
      </w:r>
      <w:r w:rsidR="00440651">
        <w:t xml:space="preserve"> (</w:t>
      </w:r>
      <w:r w:rsidR="00440651" w:rsidRPr="00440651">
        <w:rPr>
          <w:b/>
          <w:bCs/>
        </w:rPr>
        <w:t>HRA</w:t>
      </w:r>
      <w:r w:rsidR="00440651">
        <w:t>)</w:t>
      </w:r>
      <w:r w:rsidRPr="0092691F">
        <w:t>, which makes independent, skilled legal representation particularly vital to achieving an appropriate outcome.</w:t>
      </w:r>
    </w:p>
    <w:p w14:paraId="5FAF5FEA" w14:textId="2315B6E8" w:rsidR="00FF7581" w:rsidRDefault="0092691F" w:rsidP="000B2554">
      <w:pPr>
        <w:spacing w:before="120" w:after="120"/>
      </w:pPr>
      <w:r w:rsidRPr="0092691F">
        <w:t xml:space="preserve">The funding constraints upon the community legal sector would be exacerbated if a right to legal representation is introduced. To avoid rendering a right to legal representation </w:t>
      </w:r>
      <w:r w:rsidR="000164FB">
        <w:t>f</w:t>
      </w:r>
      <w:r w:rsidRPr="0092691F">
        <w:t>utile, any such amendment should be supported by increased funding to the sector as was recognised by the State government with the enactment of the MH Act 2016.</w:t>
      </w:r>
      <w:r w:rsidR="004958CF">
        <w:t xml:space="preserve"> Therefore, QAI </w:t>
      </w:r>
      <w:r w:rsidR="00992B69">
        <w:t xml:space="preserve">recommends that a right to free legal representation is introduced, </w:t>
      </w:r>
      <w:r w:rsidR="00302EE1">
        <w:t xml:space="preserve">for </w:t>
      </w:r>
      <w:r w:rsidR="00250292">
        <w:t xml:space="preserve">all guardianship and administration matters before </w:t>
      </w:r>
      <w:r w:rsidR="001975C1">
        <w:t>QCAT</w:t>
      </w:r>
      <w:r w:rsidR="0066481E">
        <w:t>.</w:t>
      </w:r>
      <w:r w:rsidR="00CC56C3">
        <w:t xml:space="preserve"> Legal representation should be prioritised for cases where human rights are most at risk, including restrictive practices and hospital hearings. The restrictive practice </w:t>
      </w:r>
      <w:r w:rsidR="00250292" w:rsidRPr="00250292">
        <w:t>legislation provides for the approval of practices that would otherwise amount to criminal offences, such as assault and deprivation of liberty</w:t>
      </w:r>
      <w:r w:rsidR="00CC56C3">
        <w:t>, therefore a</w:t>
      </w:r>
      <w:r w:rsidR="00250292" w:rsidRPr="00250292">
        <w:t xml:space="preserve"> person who is facing that outcome should have an automatic right to legal representation.</w:t>
      </w:r>
      <w:r w:rsidR="004E058B">
        <w:t xml:space="preserve"> As an alternative, duty lawyers should be made available to </w:t>
      </w:r>
      <w:r w:rsidR="00B2050C">
        <w:t>represent people in these matters.</w:t>
      </w:r>
      <w:r w:rsidR="00E8621A">
        <w:t xml:space="preserve"> </w:t>
      </w:r>
      <w:r w:rsidR="00BC4BF0">
        <w:t xml:space="preserve">It could cost around $6 million over 5 years to fund </w:t>
      </w:r>
      <w:r w:rsidR="003B5509">
        <w:t xml:space="preserve">4 FTE solicitors to perform this work. </w:t>
      </w:r>
    </w:p>
    <w:p w14:paraId="1AB97548" w14:textId="6D440D16" w:rsidR="650BA0E7" w:rsidRDefault="4E38F39F" w:rsidP="000B2554">
      <w:pPr>
        <w:spacing w:before="120" w:after="120"/>
      </w:pPr>
      <w:r>
        <w:t xml:space="preserve">Importantly, we recommend that only the subject adult be allowed legal representation in guardianship and administration proceedings. </w:t>
      </w:r>
      <w:r w:rsidR="68425020">
        <w:t xml:space="preserve">Interested persons should not be allowed legal representation when they are not the subject of the proceedings. </w:t>
      </w:r>
    </w:p>
    <w:p w14:paraId="0AC7440C" w14:textId="3892FDD9" w:rsidR="650BA0E7" w:rsidRDefault="650BA0E7" w:rsidP="0075651E">
      <w:pPr>
        <w:pStyle w:val="QAIHeading2"/>
      </w:pPr>
      <w:r>
        <w:t>Independent Disability Advocacy</w:t>
      </w:r>
    </w:p>
    <w:p w14:paraId="781CC048" w14:textId="5DA428F3" w:rsidR="002B56E7" w:rsidRDefault="002B56E7" w:rsidP="0098539C">
      <w:pPr>
        <w:spacing w:before="120" w:after="120"/>
      </w:pPr>
      <w:r>
        <w:t xml:space="preserve">In addition to </w:t>
      </w:r>
      <w:r w:rsidR="00343EEF">
        <w:t xml:space="preserve">establishing a right to legal representation, </w:t>
      </w:r>
      <w:r w:rsidR="005D037A">
        <w:t>investing in independent disability advocacy is essential to</w:t>
      </w:r>
      <w:r w:rsidR="00127714">
        <w:t xml:space="preserve"> ensuring people with disability can access supported</w:t>
      </w:r>
      <w:r w:rsidR="00D17174">
        <w:t xml:space="preserve"> decision-making. </w:t>
      </w:r>
      <w:r w:rsidR="00C82DD7" w:rsidRPr="00C82DD7">
        <w:t>Ind</w:t>
      </w:r>
      <w:r w:rsidR="00C82DD7">
        <w:t>ependent</w:t>
      </w:r>
      <w:r w:rsidR="00C82DD7" w:rsidRPr="00C82DD7">
        <w:t xml:space="preserve"> disability advocacy extends beyond supporting people with disability to exercise will and preference. It plays a vital role in preventing, identifying and responding to violence, abuse, neglect and exploitation. Every day, disability advocates support people to elevate their </w:t>
      </w:r>
      <w:r w:rsidR="00C82DD7" w:rsidRPr="00C82DD7">
        <w:lastRenderedPageBreak/>
        <w:t>voices, navigate complex systems, and challenge decisions and practices that cause disadvantage.</w:t>
      </w:r>
      <w:r w:rsidR="00EF57C9">
        <w:t xml:space="preserve"> </w:t>
      </w:r>
    </w:p>
    <w:p w14:paraId="7A1B2250" w14:textId="3DD8A166" w:rsidR="000B3CC4" w:rsidRDefault="006D57C1" w:rsidP="0098539C">
      <w:pPr>
        <w:spacing w:before="120" w:after="120"/>
      </w:pPr>
      <w:r>
        <w:t>Disability</w:t>
      </w:r>
      <w:r w:rsidR="000B3CC4" w:rsidRPr="000B3CC4">
        <w:t xml:space="preserve"> advocacy </w:t>
      </w:r>
      <w:r>
        <w:t>is effective when it is</w:t>
      </w:r>
      <w:r w:rsidR="000B3CC4" w:rsidRPr="000B3CC4">
        <w:t xml:space="preserve"> independent from service provision, disability-led, embedded in local communities and adequately resourced to deliver face-to-face support. In many cases, advocates are the first, and sometimes only, safeguard to identify neglect or abuse, particularly in regional, rural and remote communities where isolation is heightened and virtual models are insufficient.</w:t>
      </w:r>
    </w:p>
    <w:p w14:paraId="134CB9E1" w14:textId="77777777" w:rsidR="006B4437" w:rsidRDefault="00447DCE" w:rsidP="0098539C">
      <w:pPr>
        <w:spacing w:before="120" w:after="120"/>
      </w:pPr>
      <w:r>
        <w:t>Therefore, d</w:t>
      </w:r>
      <w:r w:rsidRPr="00447DCE">
        <w:t xml:space="preserve">isability advocates are in a unique position to facilitate supported decision-making due to the inherent nature of our role. That is, advocates spend time building an independent, respectful and professional relationship that prioritises deeply understanding of the needs of the person with disability to ensure successful advocacy outcomes. This creates a safe space for advocates to empower people with disability through supported </w:t>
      </w:r>
      <w:r w:rsidR="00526093" w:rsidRPr="00447DCE">
        <w:t>decision making</w:t>
      </w:r>
      <w:r w:rsidRPr="00447DCE">
        <w:t xml:space="preserve"> which includes honouring the dignity of risk. Disability advocates use a range of strategies that are recognised to increase decision-making capacity. For example, we seek to understand the person’s communication needs and assist them to receive information in accessible formats and we consider the decision-making history of the person, as well as any other expert or relevant information to the decision, such as its urgency, its sensitivity and/or whether the person is experiencing any personal issues that might impact their decision-making.</w:t>
      </w:r>
      <w:r w:rsidR="00174562">
        <w:rPr>
          <w:rStyle w:val="FootnoteReference"/>
        </w:rPr>
        <w:footnoteReference w:id="21"/>
      </w:r>
      <w:r w:rsidRPr="00447DCE">
        <w:t xml:space="preserve"> </w:t>
      </w:r>
    </w:p>
    <w:p w14:paraId="4446FB11" w14:textId="5DDECF12" w:rsidR="00447DCE" w:rsidRDefault="00447DCE" w:rsidP="0098539C">
      <w:pPr>
        <w:spacing w:before="120" w:after="120"/>
      </w:pPr>
      <w:r w:rsidRPr="00447DCE">
        <w:t>Disability advocates also recognise the importance of maintaining and preserving informal supportive arrangements, working collaboratively with a person’s chosen supports in accordance with their wishes.</w:t>
      </w:r>
      <w:r w:rsidR="000B6A90">
        <w:rPr>
          <w:rStyle w:val="FootnoteReference"/>
        </w:rPr>
        <w:footnoteReference w:id="22"/>
      </w:r>
      <w:r w:rsidRPr="00447DCE">
        <w:t xml:space="preserve"> </w:t>
      </w:r>
      <w:r w:rsidR="000B6A90">
        <w:t>For this reason, disability a</w:t>
      </w:r>
      <w:r w:rsidRPr="00447DCE">
        <w:t xml:space="preserve">dvocates can be great facilitators of Circles of Support for people who require supported decision-making. When there is sufficient funding for </w:t>
      </w:r>
      <w:r w:rsidR="00EA1C91" w:rsidRPr="00447DCE">
        <w:t>advocacy,</w:t>
      </w:r>
      <w:r w:rsidRPr="00447DCE">
        <w:t xml:space="preserve"> they can use this model to support the person to choose a network of family, friends, and community members who can provide support depending on the type and context of the decision</w:t>
      </w:r>
      <w:r w:rsidR="0080210D">
        <w:t>, which is essential to prevent a substitute decision making order from being made.</w:t>
      </w:r>
      <w:r w:rsidRPr="00447DCE">
        <w:t xml:space="preserve"> Rather than relying on a single paid supporter, this approach builds the person’s </w:t>
      </w:r>
      <w:r w:rsidRPr="00447DCE">
        <w:lastRenderedPageBreak/>
        <w:t>own capacity and strengthens the capability of their natural support network, leading to more sustainable and person-centred decision-making over time.</w:t>
      </w:r>
    </w:p>
    <w:p w14:paraId="55EF8EAA" w14:textId="38C15AB0" w:rsidR="00FB78FB" w:rsidRDefault="0080210D" w:rsidP="0098539C">
      <w:pPr>
        <w:spacing w:before="120" w:after="120"/>
      </w:pPr>
      <w:r>
        <w:t xml:space="preserve">We recommend that </w:t>
      </w:r>
      <w:r w:rsidR="00D276F3">
        <w:t>people navigating guardianship</w:t>
      </w:r>
      <w:r w:rsidR="0098539C">
        <w:t xml:space="preserve"> and administration processes</w:t>
      </w:r>
      <w:r w:rsidR="00D276F3">
        <w:t xml:space="preserve"> </w:t>
      </w:r>
      <w:r w:rsidR="003F5165">
        <w:t>should receive support</w:t>
      </w:r>
      <w:r w:rsidR="008C1996">
        <w:t xml:space="preserve"> from</w:t>
      </w:r>
      <w:r w:rsidR="0098539C">
        <w:t xml:space="preserve"> independent</w:t>
      </w:r>
      <w:r w:rsidR="008C1996">
        <w:t xml:space="preserve"> disability advocacy </w:t>
      </w:r>
      <w:r w:rsidR="0098539C">
        <w:t>in addition to a legal representative.</w:t>
      </w:r>
      <w:r w:rsidR="00B157B4">
        <w:t xml:space="preserve"> </w:t>
      </w:r>
    </w:p>
    <w:p w14:paraId="7E43A185" w14:textId="448BB0B9" w:rsidR="00596448" w:rsidRDefault="00596448" w:rsidP="0075651E">
      <w:pPr>
        <w:pStyle w:val="QAIHeading2"/>
      </w:pPr>
      <w:r w:rsidRPr="008473C2">
        <w:t>Procedural</w:t>
      </w:r>
      <w:r>
        <w:t xml:space="preserve"> </w:t>
      </w:r>
      <w:r w:rsidRPr="00025DBF">
        <w:t>fairness</w:t>
      </w:r>
    </w:p>
    <w:p w14:paraId="6BFBD7A4" w14:textId="77777777" w:rsidR="00CD78A1" w:rsidRPr="00CD78A1" w:rsidRDefault="00CD78A1" w:rsidP="00CD78A1">
      <w:pPr>
        <w:spacing w:before="120" w:after="120"/>
        <w:rPr>
          <w:b/>
          <w:bCs/>
          <w:color w:val="333333"/>
        </w:rPr>
      </w:pPr>
      <w:r w:rsidRPr="00CD78A1">
        <w:rPr>
          <w:b/>
          <w:bCs/>
          <w:color w:val="333333"/>
        </w:rPr>
        <w:t>Paramount consideration</w:t>
      </w:r>
    </w:p>
    <w:p w14:paraId="378CAD22" w14:textId="7964E48C" w:rsidR="00CD78A1" w:rsidRDefault="00CD78A1" w:rsidP="00CD78A1">
      <w:pPr>
        <w:spacing w:before="120" w:after="120"/>
      </w:pPr>
      <w:r>
        <w:t xml:space="preserve">We recommend the introduction of a paramount consideration </w:t>
      </w:r>
      <w:proofErr w:type="gramStart"/>
      <w:r>
        <w:t>similar to</w:t>
      </w:r>
      <w:proofErr w:type="gramEnd"/>
      <w:r>
        <w:t xml:space="preserve"> section 60CA of the </w:t>
      </w:r>
      <w:r w:rsidRPr="38B96F18">
        <w:rPr>
          <w:i/>
          <w:iCs/>
        </w:rPr>
        <w:t xml:space="preserve">Family Law Act 1975 </w:t>
      </w:r>
      <w:r w:rsidRPr="38B96F18">
        <w:t>(</w:t>
      </w:r>
      <w:proofErr w:type="spellStart"/>
      <w:r w:rsidRPr="38B96F18">
        <w:t>Cth</w:t>
      </w:r>
      <w:proofErr w:type="spellEnd"/>
      <w:r w:rsidRPr="38B96F18">
        <w:t xml:space="preserve">). We recommend that, in any decisions made in guardianship and </w:t>
      </w:r>
      <w:r w:rsidRPr="007160DA">
        <w:t xml:space="preserve">administration matters, QCAT must regard the rights of the adult as the paramount consideration. </w:t>
      </w:r>
      <w:r w:rsidR="005B6AAB" w:rsidRPr="007160DA">
        <w:t xml:space="preserve">In this context, </w:t>
      </w:r>
      <w:r w:rsidR="008F5933" w:rsidRPr="007160DA">
        <w:t>alternative dispute resolution</w:t>
      </w:r>
      <w:r w:rsidR="005B6AAB" w:rsidRPr="007160DA">
        <w:t xml:space="preserve"> should only be used t</w:t>
      </w:r>
      <w:r w:rsidR="008F5933" w:rsidRPr="007160DA">
        <w:t>o</w:t>
      </w:r>
      <w:r w:rsidR="005B6AAB" w:rsidRPr="007160DA">
        <w:t xml:space="preserve"> further</w:t>
      </w:r>
      <w:r w:rsidR="008F5933" w:rsidRPr="007160DA">
        <w:t xml:space="preserve"> the</w:t>
      </w:r>
      <w:r w:rsidR="005B6AAB" w:rsidRPr="007160DA">
        <w:t xml:space="preserve"> </w:t>
      </w:r>
      <w:r w:rsidR="0004254A" w:rsidRPr="007160DA">
        <w:t>adult’s choice</w:t>
      </w:r>
      <w:r w:rsidR="00891A61" w:rsidRPr="007160DA">
        <w:t>s</w:t>
      </w:r>
      <w:r w:rsidR="0004254A" w:rsidRPr="007160DA">
        <w:t xml:space="preserve"> and preference</w:t>
      </w:r>
      <w:r w:rsidR="00891A61" w:rsidRPr="007160DA">
        <w:t>s</w:t>
      </w:r>
      <w:r w:rsidR="008F5933" w:rsidRPr="007160DA">
        <w:t>,</w:t>
      </w:r>
      <w:r w:rsidR="005B6AAB" w:rsidRPr="007160DA">
        <w:t xml:space="preserve"> </w:t>
      </w:r>
      <w:r w:rsidR="00AF2095">
        <w:t>with</w:t>
      </w:r>
      <w:r w:rsidR="007160DA" w:rsidRPr="007160DA">
        <w:t xml:space="preserve"> </w:t>
      </w:r>
      <w:r w:rsidR="005B6AAB" w:rsidRPr="007160DA">
        <w:t>appropriate safeguards</w:t>
      </w:r>
      <w:r w:rsidR="00396B7E" w:rsidRPr="007160DA">
        <w:t>,</w:t>
      </w:r>
      <w:r w:rsidR="005B6AAB" w:rsidRPr="007160DA">
        <w:t xml:space="preserve"> </w:t>
      </w:r>
      <w:r w:rsidR="00396B7E" w:rsidRPr="007160DA">
        <w:t>including</w:t>
      </w:r>
      <w:r w:rsidR="005B6AAB" w:rsidRPr="007160DA">
        <w:t xml:space="preserve"> legal representation and disability advocacy</w:t>
      </w:r>
      <w:r w:rsidR="00396B7E" w:rsidRPr="007160DA">
        <w:t xml:space="preserve"> must be in place</w:t>
      </w:r>
      <w:r w:rsidR="005B6AAB" w:rsidRPr="007160DA">
        <w:t>.</w:t>
      </w:r>
    </w:p>
    <w:p w14:paraId="2ADAC340" w14:textId="0A05458A" w:rsidR="00CD78A1" w:rsidRDefault="00CD78A1" w:rsidP="00CD78A1">
      <w:pPr>
        <w:spacing w:before="120" w:after="120"/>
      </w:pPr>
      <w:r w:rsidRPr="38B96F18">
        <w:t xml:space="preserve">It is our opinion that it is only the subject adult who should be afforded procedural fairness in guardianship and administration matters, as no other interested parties are at risk of having their rights restricted. </w:t>
      </w:r>
    </w:p>
    <w:p w14:paraId="4AFF5FB0" w14:textId="7D383FE8" w:rsidR="008533C2" w:rsidRPr="008473C2" w:rsidRDefault="008533C2" w:rsidP="00945A6F">
      <w:pPr>
        <w:spacing w:before="240" w:after="120"/>
        <w:rPr>
          <w:b/>
          <w:bCs/>
          <w:color w:val="333333"/>
        </w:rPr>
      </w:pPr>
      <w:r w:rsidRPr="008473C2">
        <w:rPr>
          <w:b/>
          <w:bCs/>
          <w:color w:val="333333"/>
        </w:rPr>
        <w:t xml:space="preserve">Hearing on the </w:t>
      </w:r>
      <w:proofErr w:type="gramStart"/>
      <w:r w:rsidRPr="008473C2">
        <w:rPr>
          <w:b/>
          <w:bCs/>
          <w:color w:val="333333"/>
        </w:rPr>
        <w:t>papers</w:t>
      </w:r>
      <w:proofErr w:type="gramEnd"/>
      <w:r w:rsidRPr="008473C2">
        <w:rPr>
          <w:b/>
          <w:bCs/>
          <w:color w:val="333333"/>
        </w:rPr>
        <w:t xml:space="preserve"> vs </w:t>
      </w:r>
      <w:r w:rsidR="008473C2" w:rsidRPr="008473C2">
        <w:rPr>
          <w:b/>
          <w:bCs/>
          <w:color w:val="333333"/>
        </w:rPr>
        <w:t>In-person hearings</w:t>
      </w:r>
    </w:p>
    <w:p w14:paraId="010EE1AC" w14:textId="394F6034" w:rsidR="009B7C2B" w:rsidRPr="009B7C2B" w:rsidRDefault="007E4510" w:rsidP="007163B5">
      <w:pPr>
        <w:spacing w:before="120" w:after="120"/>
      </w:pPr>
      <w:r>
        <w:t xml:space="preserve">QCAT </w:t>
      </w:r>
      <w:r w:rsidR="009B7C2B" w:rsidRPr="009B7C2B">
        <w:t>Practice Direction No. 8 of 2010 directs that certain kinds of matters are to be dealt with on the papers unless the allocated member recommends otherwise</w:t>
      </w:r>
      <w:r w:rsidR="00845309">
        <w:t>.</w:t>
      </w:r>
      <w:r w:rsidR="00845309">
        <w:rPr>
          <w:rStyle w:val="FootnoteReference"/>
        </w:rPr>
        <w:footnoteReference w:id="23"/>
      </w:r>
      <w:r w:rsidR="009B7C2B" w:rsidRPr="009B7C2B">
        <w:t xml:space="preserve"> </w:t>
      </w:r>
      <w:r w:rsidR="00845309">
        <w:t>A</w:t>
      </w:r>
      <w:r w:rsidR="009B7C2B" w:rsidRPr="009B7C2B">
        <w:t>lthough</w:t>
      </w:r>
      <w:r w:rsidR="00FE5173">
        <w:t>, in our experience,</w:t>
      </w:r>
      <w:r w:rsidR="009B7C2B" w:rsidRPr="009B7C2B">
        <w:t xml:space="preserve"> other matters such as interim orders, are also commonly dealt with on the papers</w:t>
      </w:r>
      <w:r w:rsidR="00FE5173">
        <w:t>.</w:t>
      </w:r>
      <w:r w:rsidR="009B7C2B" w:rsidRPr="009B7C2B">
        <w:t xml:space="preserve"> </w:t>
      </w:r>
    </w:p>
    <w:p w14:paraId="4174B272" w14:textId="06085FE5" w:rsidR="00596448" w:rsidRDefault="009B7C2B" w:rsidP="007163B5">
      <w:pPr>
        <w:spacing w:before="120" w:after="120"/>
      </w:pPr>
      <w:r w:rsidRPr="009B7C2B">
        <w:t xml:space="preserve">While hearing matters on the papers is often an efficient way of dealing with matters with minimal expense and inconvenience to </w:t>
      </w:r>
      <w:r w:rsidR="00D630FF">
        <w:t xml:space="preserve">the </w:t>
      </w:r>
      <w:r w:rsidRPr="009B7C2B">
        <w:t>parties and the Tribunal, the practice is concerning in the guardianship jurisdiction given the significant constraints upon an adult's human rights that may flow from the orders made. Coupled with the fact that the adult concerned rarely has legal representation, the lack of an in-person hearing arguably deprives the adult of their right to a fair hearing and is contrary to General Principle 8 of the G</w:t>
      </w:r>
      <w:r w:rsidR="00A128C4">
        <w:t>AA</w:t>
      </w:r>
      <w:r w:rsidRPr="009B7C2B">
        <w:t>, which is directed at maximising an adult's participation in decisions affecting the adult's life, as well as with the</w:t>
      </w:r>
      <w:r w:rsidR="00440651">
        <w:t xml:space="preserve"> HRA</w:t>
      </w:r>
      <w:r w:rsidRPr="009B7C2B">
        <w:t>.</w:t>
      </w:r>
      <w:r w:rsidR="00AE1C23">
        <w:rPr>
          <w:rStyle w:val="FootnoteReference"/>
        </w:rPr>
        <w:footnoteReference w:id="24"/>
      </w:r>
    </w:p>
    <w:p w14:paraId="277D07DF" w14:textId="6A654D17" w:rsidR="006A51A2" w:rsidRDefault="00DD54EF" w:rsidP="007163B5">
      <w:pPr>
        <w:spacing w:before="120" w:after="120"/>
      </w:pPr>
      <w:r>
        <w:lastRenderedPageBreak/>
        <w:t>Appendi</w:t>
      </w:r>
      <w:r w:rsidR="003B238A">
        <w:t xml:space="preserve">x B of </w:t>
      </w:r>
      <w:r w:rsidR="00402572">
        <w:t>Issues Paper 4 provides a list of all locations where guardianship matters are heard</w:t>
      </w:r>
      <w:r w:rsidR="0089186D">
        <w:t xml:space="preserve">, which includes </w:t>
      </w:r>
      <w:proofErr w:type="gramStart"/>
      <w:r w:rsidR="0089186D">
        <w:t>a number of</w:t>
      </w:r>
      <w:proofErr w:type="gramEnd"/>
      <w:r w:rsidR="0089186D">
        <w:t xml:space="preserve"> regional and remote locations.</w:t>
      </w:r>
      <w:r w:rsidR="007335A9">
        <w:rPr>
          <w:rStyle w:val="FootnoteReference"/>
        </w:rPr>
        <w:footnoteReference w:id="25"/>
      </w:r>
      <w:r w:rsidR="0089186D">
        <w:t xml:space="preserve"> </w:t>
      </w:r>
      <w:r w:rsidR="003A314A">
        <w:t xml:space="preserve">In our experience, it is important and beneficial to </w:t>
      </w:r>
      <w:r w:rsidR="005C673A">
        <w:t>provide</w:t>
      </w:r>
      <w:r w:rsidR="00B43015">
        <w:t xml:space="preserve"> face to face assistance</w:t>
      </w:r>
      <w:r w:rsidR="005C673A">
        <w:t xml:space="preserve"> to people with disability </w:t>
      </w:r>
      <w:r w:rsidR="00B43015">
        <w:t>for</w:t>
      </w:r>
      <w:r w:rsidR="005C673A">
        <w:t xml:space="preserve"> matter</w:t>
      </w:r>
      <w:r w:rsidR="00B43015">
        <w:t>s</w:t>
      </w:r>
      <w:r w:rsidR="005C673A">
        <w:t xml:space="preserve"> before QCAT. However, given the </w:t>
      </w:r>
      <w:r w:rsidR="00481310">
        <w:t xml:space="preserve">limitations in our funding </w:t>
      </w:r>
      <w:r w:rsidR="000A3B3A">
        <w:t>in addition</w:t>
      </w:r>
      <w:r w:rsidR="00481310">
        <w:t xml:space="preserve"> to the fact that we are not funded for section 125 appointments, </w:t>
      </w:r>
      <w:r w:rsidR="00F33A0F">
        <w:t xml:space="preserve">representing clients who are located </w:t>
      </w:r>
      <w:r w:rsidR="00455CEC">
        <w:t>outside</w:t>
      </w:r>
      <w:r w:rsidR="00F33A0F">
        <w:t xml:space="preserve"> the </w:t>
      </w:r>
      <w:r w:rsidR="00455CEC">
        <w:t>metro area</w:t>
      </w:r>
      <w:r w:rsidR="00F33A0F">
        <w:t xml:space="preserve"> becomes more challenging</w:t>
      </w:r>
      <w:r w:rsidR="00B43015">
        <w:t xml:space="preserve"> and </w:t>
      </w:r>
      <w:r w:rsidR="00107B60">
        <w:t>is</w:t>
      </w:r>
      <w:r w:rsidR="00B43015">
        <w:t xml:space="preserve"> usually</w:t>
      </w:r>
      <w:r w:rsidR="00D2379F">
        <w:t xml:space="preserve"> done remotely</w:t>
      </w:r>
      <w:r w:rsidR="00F33A0F">
        <w:t>.</w:t>
      </w:r>
      <w:r w:rsidR="00455CEC">
        <w:t xml:space="preserve"> This is unfair to </w:t>
      </w:r>
      <w:r w:rsidR="00C13550">
        <w:t>people with disability living in regional and remote areas, who may be able to attend hearings in person but have no access to in person and free support</w:t>
      </w:r>
      <w:r w:rsidR="00F33A0F">
        <w:t xml:space="preserve"> </w:t>
      </w:r>
      <w:r w:rsidR="00C13550">
        <w:t xml:space="preserve">from a </w:t>
      </w:r>
      <w:r w:rsidR="00613981">
        <w:t xml:space="preserve">legal representative. </w:t>
      </w:r>
      <w:r w:rsidR="00B26D21">
        <w:t>For example, in the</w:t>
      </w:r>
      <w:r w:rsidR="008B6C8A">
        <w:t xml:space="preserve"> 2024-25</w:t>
      </w:r>
      <w:r w:rsidR="00F93EB4">
        <w:t xml:space="preserve"> financial year</w:t>
      </w:r>
      <w:r w:rsidR="008B6C8A">
        <w:t>, almost 30% of our legal representation</w:t>
      </w:r>
      <w:r w:rsidR="00C42297">
        <w:t xml:space="preserve"> services were delivered in person, and almost all of them </w:t>
      </w:r>
      <w:r w:rsidR="00EE6099">
        <w:t>took place</w:t>
      </w:r>
      <w:r w:rsidR="00C42297">
        <w:t xml:space="preserve"> in the Brisbane area. The other 70%</w:t>
      </w:r>
      <w:r w:rsidR="005A4D21">
        <w:t xml:space="preserve"> of matters were delivered via telephone or in-person, with </w:t>
      </w:r>
      <w:r w:rsidR="000700D8">
        <w:t>a mix of metro, regional and rural locations.</w:t>
      </w:r>
      <w:r w:rsidR="00B26D21">
        <w:t xml:space="preserve"> </w:t>
      </w:r>
      <w:r w:rsidR="00613981">
        <w:t>Although, it is possible</w:t>
      </w:r>
      <w:r w:rsidR="0003581E">
        <w:t xml:space="preserve"> and convenient</w:t>
      </w:r>
      <w:r w:rsidR="00613981">
        <w:t xml:space="preserve"> to </w:t>
      </w:r>
      <w:r w:rsidR="00DC51C0">
        <w:t xml:space="preserve">provide remote assistance, </w:t>
      </w:r>
      <w:r w:rsidR="00256A61">
        <w:t>many times it is not ideal</w:t>
      </w:r>
      <w:r w:rsidR="000E0900">
        <w:t>,</w:t>
      </w:r>
      <w:r w:rsidR="00256A61">
        <w:t xml:space="preserve"> accessible</w:t>
      </w:r>
      <w:r w:rsidR="000E0900">
        <w:t xml:space="preserve"> or the preference of </w:t>
      </w:r>
      <w:r w:rsidR="00256A61">
        <w:t>the adult seeking assistance.</w:t>
      </w:r>
      <w:r w:rsidR="006B2A94">
        <w:t xml:space="preserve"> </w:t>
      </w:r>
      <w:r w:rsidR="00BE4A9D">
        <w:t>We also have concerns about the overuse of remote hearings</w:t>
      </w:r>
      <w:r w:rsidR="00953C1F">
        <w:t xml:space="preserve"> and the risks </w:t>
      </w:r>
      <w:r w:rsidR="0096026E">
        <w:t xml:space="preserve">of adults being influenced or under coercion, which are nuances that are usually not missed </w:t>
      </w:r>
      <w:r w:rsidR="00B1668C">
        <w:t xml:space="preserve">in </w:t>
      </w:r>
      <w:r w:rsidR="00571BDB">
        <w:t>face-to-face</w:t>
      </w:r>
      <w:r w:rsidR="00B1668C">
        <w:t xml:space="preserve"> </w:t>
      </w:r>
      <w:r w:rsidR="00571BDB">
        <w:t>hearings</w:t>
      </w:r>
      <w:r w:rsidR="00B1668C">
        <w:t>.</w:t>
      </w:r>
      <w:r w:rsidR="006A51A2">
        <w:t xml:space="preserve"> </w:t>
      </w:r>
    </w:p>
    <w:p w14:paraId="18AC4CC1" w14:textId="3ED480E2" w:rsidR="00E01CE8" w:rsidRDefault="006A51A2" w:rsidP="007163B5">
      <w:pPr>
        <w:spacing w:before="120" w:after="120"/>
      </w:pPr>
      <w:r>
        <w:t>The format of hearings should be decided based on the adult’s choice and prefe</w:t>
      </w:r>
      <w:r w:rsidR="00F61CAA">
        <w:t>rence, and the adult should be supported to make that decision.</w:t>
      </w:r>
      <w:r w:rsidR="00DC51C0">
        <w:t xml:space="preserve"> </w:t>
      </w:r>
    </w:p>
    <w:p w14:paraId="758560C3" w14:textId="4BB82164" w:rsidR="008473C2" w:rsidRPr="00E01CE8" w:rsidRDefault="00E01CE8" w:rsidP="003575CF">
      <w:pPr>
        <w:spacing w:before="240" w:after="120"/>
        <w:rPr>
          <w:b/>
          <w:bCs/>
        </w:rPr>
      </w:pPr>
      <w:r w:rsidRPr="00E01CE8">
        <w:rPr>
          <w:b/>
          <w:bCs/>
        </w:rPr>
        <w:t>Evidence access</w:t>
      </w:r>
    </w:p>
    <w:p w14:paraId="3C666090" w14:textId="70807D38" w:rsidR="0092591C" w:rsidRDefault="004C445E" w:rsidP="00957896">
      <w:pPr>
        <w:spacing w:before="120" w:after="120"/>
      </w:pPr>
      <w:r>
        <w:t xml:space="preserve">It has been our experience that </w:t>
      </w:r>
      <w:r w:rsidR="00497748">
        <w:t xml:space="preserve">in many cases </w:t>
      </w:r>
      <w:r w:rsidR="00CE6663">
        <w:t xml:space="preserve">adults who are subject to guardianship application orders do not have access to the evidence before the Tribunal within an adequate timeframe. </w:t>
      </w:r>
      <w:r w:rsidR="00351640">
        <w:t xml:space="preserve">Frequently, </w:t>
      </w:r>
      <w:r w:rsidR="00CC33E2">
        <w:t xml:space="preserve">the </w:t>
      </w:r>
      <w:r w:rsidR="00351640">
        <w:t>evidence</w:t>
      </w:r>
      <w:r w:rsidR="00CC33E2">
        <w:t xml:space="preserve"> before the Tribunal</w:t>
      </w:r>
      <w:r w:rsidR="00351640">
        <w:t xml:space="preserve"> is provided to the adult less than 7 days before the </w:t>
      </w:r>
      <w:r w:rsidR="00126844">
        <w:t>hearing,</w:t>
      </w:r>
      <w:r w:rsidR="00351640">
        <w:t xml:space="preserve"> </w:t>
      </w:r>
      <w:r w:rsidR="00CC33E2">
        <w:t xml:space="preserve">when it is </w:t>
      </w:r>
      <w:r w:rsidR="00351640">
        <w:t>provided at all. This creates</w:t>
      </w:r>
      <w:r w:rsidR="00AC28B1">
        <w:t xml:space="preserve"> a </w:t>
      </w:r>
      <w:r w:rsidR="00B770F0">
        <w:t>challenge</w:t>
      </w:r>
      <w:r w:rsidR="00AC28B1">
        <w:t xml:space="preserve"> for the person seeking assistance from community legal centres or disability advocacy organisations who rarely have capacity to assist the individual within </w:t>
      </w:r>
      <w:r w:rsidR="00B770F0">
        <w:t xml:space="preserve">7 days. </w:t>
      </w:r>
      <w:r w:rsidRPr="004C445E">
        <w:t>This undermines the principles of natural justice and procedural fairness</w:t>
      </w:r>
      <w:r w:rsidR="00CC33E2">
        <w:t xml:space="preserve">. </w:t>
      </w:r>
      <w:r w:rsidRPr="004C445E">
        <w:t>Adults subject to these proceedings should be given a meaningful opportunity to engage with the report</w:t>
      </w:r>
      <w:r w:rsidR="00CC33E2">
        <w:t>s available to the Tribunal</w:t>
      </w:r>
      <w:r w:rsidRPr="004C445E">
        <w:t xml:space="preserve"> and participate in the process. </w:t>
      </w:r>
      <w:r w:rsidR="0092591C" w:rsidRPr="0092591C">
        <w:t xml:space="preserve">QCAT needs to make sure everyone involved is properly informed and </w:t>
      </w:r>
      <w:proofErr w:type="gramStart"/>
      <w:r w:rsidR="0092591C" w:rsidRPr="0092591C">
        <w:t>has the opportunity to</w:t>
      </w:r>
      <w:proofErr w:type="gramEnd"/>
      <w:r w:rsidR="0092591C" w:rsidRPr="0092591C">
        <w:t xml:space="preserve"> respond. </w:t>
      </w:r>
      <w:r w:rsidR="00CC33E2">
        <w:t xml:space="preserve">Procedural </w:t>
      </w:r>
      <w:r w:rsidR="0092591C" w:rsidRPr="0092591C">
        <w:t xml:space="preserve">fairness </w:t>
      </w:r>
      <w:r w:rsidR="00CC33E2">
        <w:t>must come</w:t>
      </w:r>
      <w:r w:rsidR="0092591C" w:rsidRPr="0092591C">
        <w:t xml:space="preserve"> </w:t>
      </w:r>
      <w:r w:rsidR="000959F0">
        <w:t>before</w:t>
      </w:r>
      <w:r w:rsidR="0092591C" w:rsidRPr="0092591C">
        <w:t xml:space="preserve"> administrative convenience.</w:t>
      </w:r>
    </w:p>
    <w:p w14:paraId="5FB54A78" w14:textId="7ECE010B" w:rsidR="001D548B" w:rsidRDefault="001D548B" w:rsidP="00957896">
      <w:pPr>
        <w:spacing w:before="120" w:after="120"/>
      </w:pPr>
      <w:r>
        <w:lastRenderedPageBreak/>
        <w:t xml:space="preserve">When we are involved in QCAT matters, </w:t>
      </w:r>
      <w:r w:rsidR="00DB6D40">
        <w:t xml:space="preserve">we have also experienced significant delays trying to access relevant information and documents to support the person with disability. </w:t>
      </w:r>
      <w:r w:rsidR="00730301">
        <w:t xml:space="preserve">As QCAT still relies on paper files for its matters (except for minor civil disputes matters where </w:t>
      </w:r>
      <w:proofErr w:type="spellStart"/>
      <w:r w:rsidR="00730301">
        <w:t>QCase</w:t>
      </w:r>
      <w:proofErr w:type="spellEnd"/>
      <w:r w:rsidR="00730301">
        <w:t xml:space="preserve"> is used), </w:t>
      </w:r>
      <w:r w:rsidR="00156705">
        <w:t xml:space="preserve">it usually takes a long time for us to contact QCAT and we need to follow up constantly to receive the documents necessary to support the person. </w:t>
      </w:r>
      <w:r w:rsidR="002F4588">
        <w:t>Another significant factor</w:t>
      </w:r>
      <w:r w:rsidR="009376B7">
        <w:t xml:space="preserve"> is that parties do not serve documents to each other, resulting in numerous calls </w:t>
      </w:r>
      <w:r w:rsidR="006E42CD">
        <w:t xml:space="preserve">to the registry </w:t>
      </w:r>
      <w:r w:rsidR="009376B7">
        <w:t>to</w:t>
      </w:r>
      <w:r w:rsidR="00AB62CE">
        <w:t xml:space="preserve"> request an update and a copy of new documents provided to QCAT. </w:t>
      </w:r>
      <w:r w:rsidR="00914A7E">
        <w:t xml:space="preserve">In some cases where we </w:t>
      </w:r>
      <w:r w:rsidR="005A6EFD">
        <w:t xml:space="preserve">have requested a copy of the QCAT file from the registry and the file is </w:t>
      </w:r>
      <w:r w:rsidR="00563087">
        <w:t>archived</w:t>
      </w:r>
      <w:r w:rsidR="00914A7E">
        <w:t xml:space="preserve">, documents can take up to 3 months to be provided, and we might lose contact with the person in the meantime. </w:t>
      </w:r>
      <w:r w:rsidR="00E23DD9">
        <w:t>The Registr</w:t>
      </w:r>
      <w:r w:rsidR="005A6EFD">
        <w:t>y</w:t>
      </w:r>
      <w:r w:rsidR="00E23DD9">
        <w:t xml:space="preserve"> should be adequately resourced to respond to enquiries for information and relevant documents</w:t>
      </w:r>
      <w:r w:rsidR="00E72C1D">
        <w:t xml:space="preserve"> </w:t>
      </w:r>
      <w:proofErr w:type="gramStart"/>
      <w:r w:rsidR="00E72C1D">
        <w:t>as a way to</w:t>
      </w:r>
      <w:proofErr w:type="gramEnd"/>
      <w:r w:rsidR="00E72C1D">
        <w:t xml:space="preserve"> </w:t>
      </w:r>
      <w:r w:rsidR="00A17362">
        <w:t>fulfill its objects</w:t>
      </w:r>
      <w:r w:rsidR="00F16C7B">
        <w:t xml:space="preserve"> that </w:t>
      </w:r>
      <w:r w:rsidR="00AE6C26">
        <w:t>are</w:t>
      </w:r>
      <w:r w:rsidR="00F16C7B">
        <w:t xml:space="preserve"> to be accessible, fair, just, economical, informal and quick.</w:t>
      </w:r>
      <w:r w:rsidR="000E3866">
        <w:t xml:space="preserve"> </w:t>
      </w:r>
    </w:p>
    <w:p w14:paraId="7523B46A" w14:textId="7345A4B3" w:rsidR="00F3250D" w:rsidRDefault="009358D3" w:rsidP="0075651E">
      <w:pPr>
        <w:pStyle w:val="QAIHeading2"/>
      </w:pPr>
      <w:r>
        <w:t xml:space="preserve">Supporting </w:t>
      </w:r>
      <w:r w:rsidR="0039777E">
        <w:t>the maxim of representatives as a last resort</w:t>
      </w:r>
    </w:p>
    <w:p w14:paraId="77B67F69" w14:textId="08620E4B" w:rsidR="008513B3" w:rsidRDefault="78DA7FB7" w:rsidP="002965E9">
      <w:pPr>
        <w:spacing w:before="120" w:after="120"/>
      </w:pPr>
      <w:r w:rsidRPr="00CE6BDE">
        <w:t xml:space="preserve">Article 12 of the UNCPRD affirms that people with disabilities have the right to </w:t>
      </w:r>
      <w:r w:rsidR="223479A6" w:rsidRPr="00CE6BDE">
        <w:t>equal</w:t>
      </w:r>
      <w:r w:rsidR="52B70D2D" w:rsidRPr="00CE6BDE">
        <w:t xml:space="preserve"> </w:t>
      </w:r>
      <w:r w:rsidRPr="00CE6BDE">
        <w:t xml:space="preserve">recognition as persons before the law and requires access to support in exercising their legal capacity. </w:t>
      </w:r>
      <w:r w:rsidR="1AE86BCE" w:rsidRPr="00CE6BDE">
        <w:t>Any</w:t>
      </w:r>
      <w:r w:rsidRPr="00CE6BDE">
        <w:t xml:space="preserve"> guardianship and administration applications threaten this right. </w:t>
      </w:r>
      <w:r w:rsidR="00196C03">
        <w:t>There</w:t>
      </w:r>
      <w:r w:rsidR="008513B3" w:rsidRPr="008513B3">
        <w:t xml:space="preserve"> would be significant value in an increased screening process for </w:t>
      </w:r>
      <w:r w:rsidR="00026B41">
        <w:t xml:space="preserve">guardianship and administration </w:t>
      </w:r>
      <w:r w:rsidR="008513B3" w:rsidRPr="008513B3">
        <w:t>applications, prior to their acceptance. In addition to the narrow circumstances in which the Principal Registrar can reject applications,</w:t>
      </w:r>
      <w:r w:rsidR="0059007A">
        <w:rPr>
          <w:rStyle w:val="FootnoteReference"/>
        </w:rPr>
        <w:footnoteReference w:id="26"/>
      </w:r>
      <w:r w:rsidR="008513B3" w:rsidRPr="008513B3">
        <w:t xml:space="preserve"> there is a need for increased powers for the Registry to </w:t>
      </w:r>
      <w:r w:rsidR="002965E9" w:rsidRPr="008513B3">
        <w:t>dismiss applications</w:t>
      </w:r>
      <w:r w:rsidR="008513B3" w:rsidRPr="008513B3">
        <w:t xml:space="preserve"> </w:t>
      </w:r>
      <w:r w:rsidR="63645244" w:rsidRPr="008513B3">
        <w:t xml:space="preserve">on the paper that are </w:t>
      </w:r>
      <w:r w:rsidR="008513B3" w:rsidRPr="008513B3">
        <w:t>not supported by an appropriate evidentiary basis or to seek further particulars from the applicant prior to accepting the application. This would be an important step in reducing the number of frivolous and vexatious applications that proceed to hearing and would also reduce the significant workload of the Tribunal.</w:t>
      </w:r>
      <w:r w:rsidR="00E920F0">
        <w:t xml:space="preserve"> </w:t>
      </w:r>
      <w:r w:rsidR="0DEAF6AF">
        <w:t xml:space="preserve">Importantly, this should only apply to applications that seek to restrict the adult’s </w:t>
      </w:r>
      <w:r w:rsidR="002965E9">
        <w:t>rights and</w:t>
      </w:r>
      <w:r w:rsidR="0DEAF6AF">
        <w:t xml:space="preserve"> should not apply where the adult themselves is seeking </w:t>
      </w:r>
      <w:r w:rsidR="005B34B9">
        <w:t>relief</w:t>
      </w:r>
      <w:r w:rsidR="0DEAF6AF">
        <w:t xml:space="preserve"> from orders made about them. </w:t>
      </w:r>
    </w:p>
    <w:p w14:paraId="721F7C31" w14:textId="0814E01D" w:rsidR="008513B3" w:rsidRDefault="0064354D" w:rsidP="002965E9">
      <w:pPr>
        <w:spacing w:before="120" w:after="120"/>
      </w:pPr>
      <w:r>
        <w:t>Questions like “what steps have you taken to address the issues</w:t>
      </w:r>
      <w:r w:rsidR="00EE7EF8">
        <w:t xml:space="preserve"> you are raising in this application?” can hold applicants accountable</w:t>
      </w:r>
      <w:r w:rsidR="00F679D9">
        <w:t xml:space="preserve"> and scrutinise baseless applications.</w:t>
      </w:r>
      <w:r w:rsidR="00F23623">
        <w:t xml:space="preserve"> </w:t>
      </w:r>
      <w:r w:rsidR="00640E1C">
        <w:t>ADA Law and QAI have developed a Supported Decision Making checklist</w:t>
      </w:r>
      <w:r w:rsidR="00A46E49">
        <w:t xml:space="preserve"> which </w:t>
      </w:r>
      <w:r w:rsidR="003974E1">
        <w:t>includes</w:t>
      </w:r>
      <w:r w:rsidR="003974E1" w:rsidRPr="003974E1">
        <w:t xml:space="preserve"> some of the more frequent decisions that people need to make as they age or live with disability, and how </w:t>
      </w:r>
      <w:r w:rsidR="00342A21">
        <w:lastRenderedPageBreak/>
        <w:t>they</w:t>
      </w:r>
      <w:r w:rsidR="003974E1" w:rsidRPr="003974E1">
        <w:t xml:space="preserve"> can find out about the range of services and supports they can access through government and non-government programs.</w:t>
      </w:r>
      <w:r w:rsidR="00B47E1A">
        <w:rPr>
          <w:rStyle w:val="FootnoteReference"/>
        </w:rPr>
        <w:footnoteReference w:id="27"/>
      </w:r>
      <w:r w:rsidR="003974E1" w:rsidRPr="003974E1">
        <w:t xml:space="preserve"> The booklet is d</w:t>
      </w:r>
      <w:r w:rsidR="00342A21">
        <w:t>esigned</w:t>
      </w:r>
      <w:r w:rsidR="003974E1" w:rsidRPr="003974E1">
        <w:t xml:space="preserve"> to ‘pick and choose’ the areas that are relevant to decision making or finding out about the types of supports and services that are available for eligible people.</w:t>
      </w:r>
      <w:r w:rsidR="00B47E1A">
        <w:t xml:space="preserve"> </w:t>
      </w:r>
      <w:r w:rsidR="00347D00">
        <w:t xml:space="preserve">Encouraging applicants to use a booklet such as this </w:t>
      </w:r>
      <w:r w:rsidR="00610F5F">
        <w:t>one or</w:t>
      </w:r>
      <w:r w:rsidR="00A633A7">
        <w:t xml:space="preserve"> incorporating some of the content from this booklet into QCAT application form,</w:t>
      </w:r>
      <w:r w:rsidR="00F0465C">
        <w:t xml:space="preserve"> will</w:t>
      </w:r>
      <w:r w:rsidR="00347D00">
        <w:t xml:space="preserve"> assist QCAT to assess applications</w:t>
      </w:r>
      <w:r w:rsidR="006F5D52">
        <w:t>.</w:t>
      </w:r>
    </w:p>
    <w:p w14:paraId="2CA0C8FF" w14:textId="15D58BA6" w:rsidR="00494918" w:rsidRDefault="00A6275E" w:rsidP="002965E9">
      <w:pPr>
        <w:spacing w:before="120" w:after="120"/>
      </w:pPr>
      <w:r>
        <w:t>In our experience,</w:t>
      </w:r>
      <w:r w:rsidR="00494918" w:rsidRPr="00FF7581">
        <w:t xml:space="preserve"> many </w:t>
      </w:r>
      <w:r>
        <w:t>guardianship order</w:t>
      </w:r>
      <w:r w:rsidR="00822271">
        <w:t xml:space="preserve"> applications</w:t>
      </w:r>
      <w:r w:rsidR="00494918" w:rsidRPr="00FF7581">
        <w:t xml:space="preserve"> are initiated by NDIS Service Providers, </w:t>
      </w:r>
      <w:r w:rsidR="00217B22">
        <w:t xml:space="preserve">despite the lack of </w:t>
      </w:r>
      <w:r w:rsidR="00B13466">
        <w:t>comprehensive evidence presented</w:t>
      </w:r>
      <w:r w:rsidR="00494918" w:rsidRPr="00FF7581">
        <w:t xml:space="preserve">. While at times these appointments </w:t>
      </w:r>
      <w:r w:rsidR="008D1EC3">
        <w:t>may be</w:t>
      </w:r>
      <w:r w:rsidR="00494918" w:rsidRPr="00FF7581">
        <w:t xml:space="preserve"> necessary, they remain the legislated option of last resort. QAI is concerned that, contrary to the </w:t>
      </w:r>
      <w:proofErr w:type="gramStart"/>
      <w:r w:rsidR="005D3070">
        <w:t>NDIS’</w:t>
      </w:r>
      <w:proofErr w:type="gramEnd"/>
      <w:r w:rsidR="00494918" w:rsidRPr="00FF7581">
        <w:t xml:space="preserve"> stated objective of increasing choice and control for people with disability, on many occasions applications and appointments of substitute decision-makers are made in circumstances where informal support arrangements are working well and should be maintained (consistent with the General Principles in the GA</w:t>
      </w:r>
      <w:r w:rsidR="00501EDA">
        <w:t>A</w:t>
      </w:r>
      <w:r w:rsidR="00494918" w:rsidRPr="00FF7581">
        <w:t>).</w:t>
      </w:r>
      <w:r w:rsidR="006E0ECC">
        <w:rPr>
          <w:rStyle w:val="FootnoteReference"/>
        </w:rPr>
        <w:footnoteReference w:id="28"/>
      </w:r>
      <w:r w:rsidR="00494918" w:rsidRPr="00FF7581">
        <w:t xml:space="preserve"> </w:t>
      </w:r>
    </w:p>
    <w:p w14:paraId="11995EAA" w14:textId="7BF6C21A" w:rsidR="00E20F8E" w:rsidRPr="0092691F" w:rsidRDefault="00E20F8E" w:rsidP="002965E9">
      <w:pPr>
        <w:spacing w:before="120" w:after="120"/>
      </w:pPr>
      <w:r>
        <w:t>DRC recommendations</w:t>
      </w:r>
      <w:r w:rsidR="00950402">
        <w:t xml:space="preserve"> 6.5</w:t>
      </w:r>
      <w:r w:rsidR="003563EA">
        <w:t xml:space="preserve"> to 6.15</w:t>
      </w:r>
      <w:r w:rsidR="00A25464">
        <w:t xml:space="preserve">, </w:t>
      </w:r>
      <w:r w:rsidR="00575792">
        <w:t>related to</w:t>
      </w:r>
      <w:r w:rsidR="00430A5E">
        <w:t xml:space="preserve"> guardian</w:t>
      </w:r>
      <w:r w:rsidR="00EE1A58">
        <w:t>ship</w:t>
      </w:r>
      <w:r w:rsidR="00A25464">
        <w:t>,</w:t>
      </w:r>
      <w:r w:rsidR="00430A5E">
        <w:t xml:space="preserve"> </w:t>
      </w:r>
      <w:r w:rsidR="006C31AF">
        <w:t>focus on the</w:t>
      </w:r>
      <w:r w:rsidR="001E36DF">
        <w:t xml:space="preserve"> awareness and use of supported decision-making</w:t>
      </w:r>
      <w:r w:rsidR="00FC7A8F">
        <w:t>, shifting away from substitute decision-making</w:t>
      </w:r>
      <w:r w:rsidR="001E36DF">
        <w:t>.</w:t>
      </w:r>
      <w:r w:rsidR="001E36DF">
        <w:rPr>
          <w:rStyle w:val="FootnoteReference"/>
        </w:rPr>
        <w:footnoteReference w:id="29"/>
      </w:r>
      <w:r w:rsidR="00FC7A8F">
        <w:t xml:space="preserve"> </w:t>
      </w:r>
      <w:r w:rsidR="00A369C9">
        <w:t xml:space="preserve">Relevantly, we fully endorse DRC recommendation 6.9 which </w:t>
      </w:r>
      <w:r w:rsidR="00065767">
        <w:t xml:space="preserve">proposes practical ways to ensure that representation </w:t>
      </w:r>
      <w:r w:rsidR="00EE109C">
        <w:t>orders are only made as a last resort and in a way least restrictive of a person's rights, autonomy and actio</w:t>
      </w:r>
      <w:r w:rsidR="00946FBF">
        <w:t>ns, as practicable in the circumstances.</w:t>
      </w:r>
      <w:r w:rsidR="0038168A">
        <w:t xml:space="preserve"> In our experience, </w:t>
      </w:r>
      <w:r w:rsidR="00177A3C">
        <w:t xml:space="preserve">there is an opportunity for QCAT to improve its </w:t>
      </w:r>
      <w:r w:rsidR="00DF2CDB">
        <w:t>processes,</w:t>
      </w:r>
      <w:r w:rsidR="00177A3C">
        <w:t xml:space="preserve"> so each person’s circumstances </w:t>
      </w:r>
      <w:r w:rsidR="00DF2CDB">
        <w:t>are meaningfully considered</w:t>
      </w:r>
      <w:r w:rsidR="007D50EF">
        <w:t xml:space="preserve"> before an order is made</w:t>
      </w:r>
      <w:r w:rsidR="00DF2CDB">
        <w:t>.</w:t>
      </w:r>
    </w:p>
    <w:p w14:paraId="5A218F8B" w14:textId="36B9297E" w:rsidR="00363B38" w:rsidRDefault="009903A5" w:rsidP="002965E9">
      <w:pPr>
        <w:spacing w:before="120" w:after="120"/>
      </w:pPr>
      <w:r>
        <w:t>For instance</w:t>
      </w:r>
      <w:r w:rsidR="00C463E3">
        <w:t>, we c</w:t>
      </w:r>
      <w:r w:rsidR="009D671A" w:rsidRPr="009D671A">
        <w:t>onsider that the strong powers under s 129 of the GA</w:t>
      </w:r>
      <w:r>
        <w:t>A</w:t>
      </w:r>
      <w:r w:rsidR="009D671A" w:rsidRPr="009D671A">
        <w:t xml:space="preserve"> to make interim orders must be exercised extremely judiciously and accompanied by appropriate safeguards, given the significant impact it has on the human rights of a person whose voice is yet to be heard. The power to make an interim order should only be able to be exercised where there is clear, cogent, contemporaneous evidence of an immediate risk of harm. </w:t>
      </w:r>
    </w:p>
    <w:p w14:paraId="2E923D74" w14:textId="228BEC59" w:rsidR="00BD1523" w:rsidRDefault="00C628D0" w:rsidP="002965E9">
      <w:pPr>
        <w:spacing w:before="120" w:after="120"/>
      </w:pPr>
      <w:r>
        <w:t xml:space="preserve">We also have concerns about the ways the presumption of capacity is tested at QCAT. </w:t>
      </w:r>
      <w:r w:rsidR="002375B3">
        <w:t>It is not appropriate to direct the adult to obtain</w:t>
      </w:r>
      <w:r w:rsidR="00175170">
        <w:t xml:space="preserve"> a health professional report about their own capacity </w:t>
      </w:r>
      <w:r w:rsidR="00175170">
        <w:lastRenderedPageBreak/>
        <w:t>when an application for a guardian or administrator is filed by someone else</w:t>
      </w:r>
      <w:r w:rsidR="0048040A">
        <w:t>. The applicant should bear the onus to present evidence to rebut the presumption of capacity</w:t>
      </w:r>
      <w:r w:rsidR="002A61C4">
        <w:t xml:space="preserve">. </w:t>
      </w:r>
      <w:r w:rsidR="00D4531F">
        <w:t xml:space="preserve"> </w:t>
      </w:r>
    </w:p>
    <w:p w14:paraId="3A1B178C" w14:textId="07BFC223" w:rsidR="00373CBD" w:rsidRDefault="007C783F" w:rsidP="002965E9">
      <w:pPr>
        <w:spacing w:before="120" w:after="120"/>
      </w:pPr>
      <w:r>
        <w:t xml:space="preserve">Another </w:t>
      </w:r>
      <w:r w:rsidR="00347D36">
        <w:t>concern</w:t>
      </w:r>
      <w:r>
        <w:t xml:space="preserve"> we have</w:t>
      </w:r>
      <w:r w:rsidR="00347D36">
        <w:t xml:space="preserve"> is</w:t>
      </w:r>
      <w:r w:rsidR="007B44A9">
        <w:t xml:space="preserve"> that </w:t>
      </w:r>
      <w:r w:rsidR="00E161D8">
        <w:t xml:space="preserve">Health Professional Reports </w:t>
      </w:r>
      <w:r w:rsidR="00347D36">
        <w:t xml:space="preserve">are </w:t>
      </w:r>
      <w:r w:rsidR="00E161D8">
        <w:t xml:space="preserve">prepared by people without the necessary qualifications and expertise to provide an </w:t>
      </w:r>
      <w:r w:rsidR="00E161D8" w:rsidRPr="0058580D">
        <w:t xml:space="preserve">expert opinion about </w:t>
      </w:r>
      <w:r w:rsidR="00E161D8">
        <w:t>an</w:t>
      </w:r>
      <w:r w:rsidR="00E161D8" w:rsidRPr="0058580D">
        <w:t xml:space="preserve"> adult’s </w:t>
      </w:r>
      <w:r w:rsidR="00E161D8">
        <w:t xml:space="preserve">decision-making </w:t>
      </w:r>
      <w:r w:rsidR="00E161D8" w:rsidRPr="0058580D">
        <w:t>capacity</w:t>
      </w:r>
      <w:r w:rsidR="00FD0778">
        <w:t xml:space="preserve">. As a result, </w:t>
      </w:r>
      <w:r w:rsidR="00FF569D">
        <w:t xml:space="preserve">irrelevant or inappropriate </w:t>
      </w:r>
      <w:r w:rsidR="007862AB">
        <w:t>considerations are</w:t>
      </w:r>
      <w:r w:rsidR="004004FA">
        <w:t xml:space="preserve"> inadvertently</w:t>
      </w:r>
      <w:r w:rsidR="00E161D8">
        <w:t xml:space="preserve"> </w:t>
      </w:r>
      <w:proofErr w:type="gramStart"/>
      <w:r w:rsidR="00B177F6">
        <w:t>taken</w:t>
      </w:r>
      <w:r w:rsidR="00E161D8">
        <w:t xml:space="preserve"> into account</w:t>
      </w:r>
      <w:proofErr w:type="gramEnd"/>
      <w:r w:rsidR="00E161D8">
        <w:t xml:space="preserve"> and/or giv</w:t>
      </w:r>
      <w:r w:rsidR="004004FA">
        <w:t>en</w:t>
      </w:r>
      <w:r w:rsidR="00E161D8">
        <w:t xml:space="preserve"> inappropriate weight</w:t>
      </w:r>
      <w:r w:rsidR="00A06014">
        <w:t>.</w:t>
      </w:r>
      <w:r w:rsidR="007862AB">
        <w:t xml:space="preserve"> An example of this </w:t>
      </w:r>
      <w:r w:rsidR="00F13EA2">
        <w:t>is when</w:t>
      </w:r>
      <w:r w:rsidR="007862AB">
        <w:t xml:space="preserve"> Occupational Therapists</w:t>
      </w:r>
      <w:r w:rsidR="00F13EA2">
        <w:t xml:space="preserve"> provide reports in QCAT matters that were originally prepared for the NDIS, which </w:t>
      </w:r>
      <w:r w:rsidR="00D265EC">
        <w:t>in many cases emphasise what the adult cannot do</w:t>
      </w:r>
      <w:r w:rsidR="009729F1">
        <w:t xml:space="preserve"> and can be misinterpreted.</w:t>
      </w:r>
      <w:r w:rsidR="00A06014">
        <w:t xml:space="preserve"> </w:t>
      </w:r>
      <w:r w:rsidR="00373CBD" w:rsidRPr="00373CBD">
        <w:t xml:space="preserve">Noting the gravity of the appointment of a guardian or administrator on an individual's independence and freedom of decision making, it is paramount that persons providing QCAT with opinions on an individual's decision-making capacity and other related matters </w:t>
      </w:r>
      <w:r w:rsidR="004004FA">
        <w:t>are</w:t>
      </w:r>
      <w:r w:rsidR="00373CBD" w:rsidRPr="00373CBD">
        <w:t xml:space="preserve"> appropriately qualified and possesses relevant expertise.</w:t>
      </w:r>
    </w:p>
    <w:p w14:paraId="4B340D19" w14:textId="1CE370AE" w:rsidR="00DE7330" w:rsidRDefault="005731B4" w:rsidP="002965E9">
      <w:pPr>
        <w:spacing w:before="120" w:after="120"/>
      </w:pPr>
      <w:r>
        <w:t xml:space="preserve">The definition of a health provider in Schedule 4 of the GAA Act is vague and creates uncertainty about who can </w:t>
      </w:r>
      <w:r w:rsidR="00366E5F">
        <w:t xml:space="preserve">complete </w:t>
      </w:r>
      <w:r w:rsidR="00384244" w:rsidRPr="00384244">
        <w:t>a Health Professional Report to QCAT in guardianship and administration matters.</w:t>
      </w:r>
      <w:r w:rsidR="00384244">
        <w:t xml:space="preserve"> </w:t>
      </w:r>
      <w:r w:rsidR="00366E5F">
        <w:t>The definition states that a health provider means a person who provides health care, or special health care, in the practice of a profession or the ordinary course of business e.g. dentist.</w:t>
      </w:r>
      <w:r w:rsidR="00D31D2B">
        <w:t xml:space="preserve"> </w:t>
      </w:r>
      <w:r w:rsidR="00366E5F">
        <w:t>To avoid uncertainty</w:t>
      </w:r>
      <w:r w:rsidR="0041477F">
        <w:t xml:space="preserve">, we recommend </w:t>
      </w:r>
      <w:r w:rsidR="001C2207">
        <w:t>introducing guidance on</w:t>
      </w:r>
      <w:r w:rsidR="0041477F">
        <w:t>:</w:t>
      </w:r>
    </w:p>
    <w:p w14:paraId="5F1BC22A" w14:textId="4D7EF58E" w:rsidR="00E62A1F" w:rsidRDefault="00E62A1F" w:rsidP="002965E9">
      <w:pPr>
        <w:pStyle w:val="ListParagraph"/>
        <w:numPr>
          <w:ilvl w:val="0"/>
          <w:numId w:val="3"/>
        </w:numPr>
        <w:spacing w:before="120" w:after="120"/>
      </w:pPr>
      <w:r>
        <w:t xml:space="preserve">the qualifications an individual/health care provider is required to hold </w:t>
      </w:r>
      <w:proofErr w:type="gramStart"/>
      <w:r>
        <w:t>in order to</w:t>
      </w:r>
      <w:proofErr w:type="gramEnd"/>
      <w:r>
        <w:t xml:space="preserve"> complete a Health Professional Report, which can be used as evidence in a guardianship or administration </w:t>
      </w:r>
      <w:proofErr w:type="gramStart"/>
      <w:r>
        <w:t>hearing;</w:t>
      </w:r>
      <w:proofErr w:type="gramEnd"/>
    </w:p>
    <w:p w14:paraId="46F4AF82" w14:textId="6AC30F34" w:rsidR="00E62A1F" w:rsidRDefault="00E62A1F" w:rsidP="002965E9">
      <w:pPr>
        <w:pStyle w:val="ListParagraph"/>
        <w:numPr>
          <w:ilvl w:val="0"/>
          <w:numId w:val="3"/>
        </w:numPr>
        <w:spacing w:before="120" w:after="120"/>
      </w:pPr>
      <w:r>
        <w:t>the specific evidence and detail required in the Health Professional Report to satisfy QCAT that a guardianship or administration order is necessary</w:t>
      </w:r>
      <w:r w:rsidR="00921E8B">
        <w:t xml:space="preserve">, including information about the </w:t>
      </w:r>
      <w:r w:rsidR="004060CC">
        <w:t>adult’s care history</w:t>
      </w:r>
      <w:r w:rsidR="00AA4BAE">
        <w:t xml:space="preserve"> and what </w:t>
      </w:r>
      <w:r w:rsidR="00644D25">
        <w:t xml:space="preserve">level of </w:t>
      </w:r>
      <w:r w:rsidR="00AA4BAE">
        <w:t xml:space="preserve">supported decision-making </w:t>
      </w:r>
      <w:r w:rsidR="00644D25">
        <w:t xml:space="preserve">has been </w:t>
      </w:r>
      <w:r w:rsidR="00AA4BAE">
        <w:t>in place</w:t>
      </w:r>
      <w:r w:rsidR="009A4001">
        <w:t xml:space="preserve"> to demonstrate effective communication bet</w:t>
      </w:r>
      <w:r w:rsidR="005024A8">
        <w:t>ween the health professional and the adult</w:t>
      </w:r>
      <w:r>
        <w:t>; and</w:t>
      </w:r>
    </w:p>
    <w:p w14:paraId="33FDD76F" w14:textId="0E4CF96C" w:rsidR="00E62A1F" w:rsidRDefault="00E62A1F" w:rsidP="002965E9">
      <w:pPr>
        <w:pStyle w:val="ListParagraph"/>
        <w:numPr>
          <w:ilvl w:val="0"/>
          <w:numId w:val="3"/>
        </w:numPr>
        <w:spacing w:before="120" w:after="120"/>
      </w:pPr>
      <w:r>
        <w:t xml:space="preserve">direction to QCAT members regarding: </w:t>
      </w:r>
    </w:p>
    <w:p w14:paraId="2C3E828F" w14:textId="7811E697" w:rsidR="00E62A1F" w:rsidRDefault="00E62A1F" w:rsidP="002965E9">
      <w:pPr>
        <w:pStyle w:val="ListParagraph"/>
        <w:numPr>
          <w:ilvl w:val="1"/>
          <w:numId w:val="3"/>
        </w:numPr>
        <w:spacing w:before="120" w:after="120"/>
      </w:pPr>
      <w:r>
        <w:t xml:space="preserve">the level of consideration that should be given to an individual's qualifications </w:t>
      </w:r>
      <w:proofErr w:type="gramStart"/>
      <w:r>
        <w:t>in order to</w:t>
      </w:r>
      <w:proofErr w:type="gramEnd"/>
      <w:r>
        <w:t xml:space="preserve"> determine how the Health Professional Report should be assessed and weighted as part of QCAT's decision </w:t>
      </w:r>
      <w:proofErr w:type="gramStart"/>
      <w:r>
        <w:t>whether or not</w:t>
      </w:r>
      <w:proofErr w:type="gramEnd"/>
      <w:r>
        <w:t xml:space="preserve"> to appoint a guardian or administrator; and</w:t>
      </w:r>
    </w:p>
    <w:p w14:paraId="00150474" w14:textId="7AE6A4DF" w:rsidR="0041477F" w:rsidRPr="00373CBD" w:rsidRDefault="00E62A1F" w:rsidP="002965E9">
      <w:pPr>
        <w:pStyle w:val="ListParagraph"/>
        <w:numPr>
          <w:ilvl w:val="1"/>
          <w:numId w:val="3"/>
        </w:numPr>
        <w:spacing w:before="120" w:after="120"/>
      </w:pPr>
      <w:r>
        <w:lastRenderedPageBreak/>
        <w:t>the inclusion of a summary of those considerations in QCAT's reasons for its decision.</w:t>
      </w:r>
    </w:p>
    <w:p w14:paraId="68002FC4" w14:textId="5C66927C" w:rsidR="00222E9E" w:rsidRDefault="00C576A2" w:rsidP="002965E9">
      <w:pPr>
        <w:spacing w:before="120" w:after="120"/>
      </w:pPr>
      <w:r>
        <w:t xml:space="preserve">QCAT should not solely rely on evidence provided by Health Professionals though. </w:t>
      </w:r>
      <w:r w:rsidR="002E58FB">
        <w:t>As noted in the DRC Report, unfortunately in many instances, health professionals do not have a clear understanding of a person’s disability.</w:t>
      </w:r>
      <w:r w:rsidR="002E58FB">
        <w:rPr>
          <w:rStyle w:val="FootnoteReference"/>
        </w:rPr>
        <w:footnoteReference w:id="30"/>
      </w:r>
      <w:r w:rsidR="000446FB">
        <w:t xml:space="preserve"> Therefore, receiving evidence from the adult</w:t>
      </w:r>
      <w:r w:rsidR="005E0BAA">
        <w:t xml:space="preserve"> </w:t>
      </w:r>
      <w:r w:rsidR="000446FB">
        <w:t xml:space="preserve">themselves as well as any relevant </w:t>
      </w:r>
      <w:r w:rsidR="000E4468">
        <w:t>p</w:t>
      </w:r>
      <w:r w:rsidR="000025A6">
        <w:t>erson</w:t>
      </w:r>
      <w:r w:rsidR="000E4468">
        <w:t xml:space="preserve"> is essential to understand the support networks</w:t>
      </w:r>
      <w:r w:rsidR="00700F7C">
        <w:t xml:space="preserve"> that exist in the </w:t>
      </w:r>
      <w:r w:rsidR="00623BC2">
        <w:t>adult</w:t>
      </w:r>
      <w:r w:rsidR="00700F7C">
        <w:t>’s li</w:t>
      </w:r>
      <w:r w:rsidR="00BF15B9">
        <w:t>fe</w:t>
      </w:r>
      <w:r w:rsidR="003225A7">
        <w:t xml:space="preserve">. Taking these steps are essential before </w:t>
      </w:r>
      <w:r w:rsidR="00085C32">
        <w:t>reaching a conclusion that</w:t>
      </w:r>
      <w:r w:rsidR="000100A3">
        <w:t xml:space="preserve"> a substitute decision-making order is in fact necessary</w:t>
      </w:r>
      <w:r w:rsidR="00B30D0F">
        <w:t xml:space="preserve">. </w:t>
      </w:r>
    </w:p>
    <w:p w14:paraId="42B13EFA" w14:textId="46F6F9D3" w:rsidR="00D9271D" w:rsidRDefault="003E00C4" w:rsidP="0075651E">
      <w:pPr>
        <w:pStyle w:val="QAIHeading2"/>
      </w:pPr>
      <w:r>
        <w:t>Additional r</w:t>
      </w:r>
      <w:r w:rsidR="00D9271D">
        <w:t>egistr</w:t>
      </w:r>
      <w:r w:rsidR="00A65389">
        <w:t>ar</w:t>
      </w:r>
      <w:r w:rsidR="00D9271D">
        <w:t xml:space="preserve"> powers</w:t>
      </w:r>
    </w:p>
    <w:p w14:paraId="306247E2" w14:textId="6B3B10A8" w:rsidR="00D9271D" w:rsidRPr="00D9271D" w:rsidRDefault="009C115C" w:rsidP="002965E9">
      <w:pPr>
        <w:spacing w:before="120" w:after="120"/>
        <w:rPr>
          <w:b/>
          <w:bCs/>
          <w:color w:val="333333"/>
        </w:rPr>
      </w:pPr>
      <w:r>
        <w:rPr>
          <w:b/>
          <w:bCs/>
          <w:color w:val="333333"/>
        </w:rPr>
        <w:t>Notification and s</w:t>
      </w:r>
      <w:r w:rsidR="00D9271D" w:rsidRPr="00D9271D">
        <w:rPr>
          <w:b/>
          <w:bCs/>
          <w:color w:val="333333"/>
        </w:rPr>
        <w:t>ervice</w:t>
      </w:r>
    </w:p>
    <w:p w14:paraId="30AB1763" w14:textId="04E7B5D0" w:rsidR="009D671A" w:rsidRDefault="009D671A" w:rsidP="002965E9">
      <w:pPr>
        <w:spacing w:before="120" w:after="120"/>
      </w:pPr>
      <w:r w:rsidRPr="009D671A">
        <w:t xml:space="preserve">Safeguards should be introduced to ensure that the person proposed to be subject to the order has, at a minimum, been notified and consulted and their views considered prior to the making of the order. </w:t>
      </w:r>
      <w:r w:rsidR="00141418">
        <w:t xml:space="preserve">In our </w:t>
      </w:r>
      <w:r w:rsidRPr="009D671A">
        <w:t xml:space="preserve">experience, this is not always the case. In the context of the current significant constraints on QCAT’s resources, and the resulting lengthening of timeframes from the filing to hearing of substantive applications, QAI is concerned that additional applications for orders are being made and granted, in circumstances where the threshold requirements are not adequately established. </w:t>
      </w:r>
    </w:p>
    <w:p w14:paraId="55139651" w14:textId="0B8F4844" w:rsidR="007E7DDD" w:rsidRDefault="00E94B21" w:rsidP="002965E9">
      <w:pPr>
        <w:spacing w:before="120" w:after="120"/>
      </w:pPr>
      <w:r>
        <w:t xml:space="preserve">Currently, the QCAT </w:t>
      </w:r>
      <w:r w:rsidR="00DE7495">
        <w:t xml:space="preserve">Form 10 – Application for administration/guardianship appointment or review includes a section where </w:t>
      </w:r>
      <w:r w:rsidR="00406D04">
        <w:t>the applicant</w:t>
      </w:r>
      <w:r w:rsidR="00DE7495">
        <w:t xml:space="preserve"> must</w:t>
      </w:r>
      <w:r w:rsidR="004B0717">
        <w:t xml:space="preserve"> </w:t>
      </w:r>
      <w:r w:rsidR="00406D04">
        <w:t>state</w:t>
      </w:r>
      <w:r w:rsidR="004B0717">
        <w:t xml:space="preserve"> whether the adult has been informed about the application. </w:t>
      </w:r>
      <w:r w:rsidR="00406D04">
        <w:t xml:space="preserve">In our experience, this </w:t>
      </w:r>
      <w:r w:rsidR="00537F8B">
        <w:t xml:space="preserve">is insufficient to demonstrate </w:t>
      </w:r>
      <w:r w:rsidR="00EF5A90">
        <w:t xml:space="preserve">the notice was </w:t>
      </w:r>
      <w:r w:rsidR="00854697">
        <w:t>in fact given and the adult underst</w:t>
      </w:r>
      <w:r w:rsidR="00040AF0">
        <w:t>ands what the application means</w:t>
      </w:r>
      <w:r w:rsidR="00412A30">
        <w:t xml:space="preserve">. In numerous cases, </w:t>
      </w:r>
      <w:r w:rsidR="003419F6">
        <w:t xml:space="preserve">people who seek our assistance have not been informed about the application until they receive a hearing notice </w:t>
      </w:r>
      <w:r w:rsidR="003F73E7">
        <w:t xml:space="preserve">which will occur in a couple of days. </w:t>
      </w:r>
      <w:r w:rsidR="007E7DDD">
        <w:t>We have also</w:t>
      </w:r>
      <w:r w:rsidR="00DF5B87">
        <w:t xml:space="preserve"> encountered situations where young people who were subject to a Child Safety order</w:t>
      </w:r>
      <w:r w:rsidR="001C706C">
        <w:t xml:space="preserve"> have had a guardian appointed to commence once they are 18 years old, without their knowledge</w:t>
      </w:r>
      <w:r w:rsidR="0019252A">
        <w:t>.</w:t>
      </w:r>
    </w:p>
    <w:p w14:paraId="463518FA" w14:textId="77777777" w:rsidR="00D9271D" w:rsidRDefault="00B61252" w:rsidP="002965E9">
      <w:pPr>
        <w:spacing w:before="120" w:after="120"/>
      </w:pPr>
      <w:r>
        <w:t>We</w:t>
      </w:r>
      <w:r w:rsidRPr="00B61252">
        <w:t xml:space="preserve"> propose the introduction of a requirement</w:t>
      </w:r>
      <w:r>
        <w:t xml:space="preserve"> </w:t>
      </w:r>
      <w:r w:rsidRPr="00B61252">
        <w:t xml:space="preserve">that affidavit evidence of the notification of the </w:t>
      </w:r>
      <w:r w:rsidR="0019252A">
        <w:t>individual</w:t>
      </w:r>
      <w:r w:rsidRPr="00B61252">
        <w:t xml:space="preserve"> subject to the application, and confirmation of their views regarding the relevant </w:t>
      </w:r>
      <w:r w:rsidRPr="00B61252">
        <w:lastRenderedPageBreak/>
        <w:t xml:space="preserve">application, is filed in support of the application. This would act as a safeguard against the incorrect completion of this part of the application and ensure that the adult is aware of the application and, in the case of matters heard on the papers, </w:t>
      </w:r>
      <w:proofErr w:type="gramStart"/>
      <w:r w:rsidRPr="00B61252">
        <w:t>has the opportunity to</w:t>
      </w:r>
      <w:proofErr w:type="gramEnd"/>
      <w:r w:rsidRPr="00B61252">
        <w:t xml:space="preserve"> consider and respond to the application prior to the making of the order.</w:t>
      </w:r>
    </w:p>
    <w:p w14:paraId="3FCD5D29" w14:textId="54C3C853" w:rsidR="58AFA68E" w:rsidRDefault="58AFA68E" w:rsidP="002965E9">
      <w:pPr>
        <w:spacing w:before="120" w:after="120"/>
      </w:pPr>
      <w:r>
        <w:t xml:space="preserve">We also recommend that the applicant must be willing to appear before QCAT to speak to their application. In circumstances where the applicant </w:t>
      </w:r>
      <w:r w:rsidR="221C1EB0">
        <w:t xml:space="preserve">is unable or unwilling to appear before QCAT, the application should be dismissed. </w:t>
      </w:r>
    </w:p>
    <w:p w14:paraId="5A3F4516" w14:textId="77777777" w:rsidR="0034365D" w:rsidRPr="0034365D" w:rsidRDefault="00D9271D" w:rsidP="002965E9">
      <w:pPr>
        <w:spacing w:before="120" w:after="120"/>
      </w:pPr>
      <w:r w:rsidRPr="0034365D">
        <w:rPr>
          <w:b/>
          <w:bCs/>
          <w:color w:val="333333"/>
        </w:rPr>
        <w:t>Confidentiality</w:t>
      </w:r>
    </w:p>
    <w:p w14:paraId="7B46F701" w14:textId="3BEBA233" w:rsidR="00D9271D" w:rsidRDefault="003E00C4" w:rsidP="002965E9">
      <w:pPr>
        <w:spacing w:before="120" w:after="120"/>
      </w:pPr>
      <w:r>
        <w:t xml:space="preserve">We have </w:t>
      </w:r>
      <w:r w:rsidR="0032746B">
        <w:t xml:space="preserve">seen cases where </w:t>
      </w:r>
      <w:r w:rsidR="00D9271D" w:rsidRPr="0034365D">
        <w:t>QCAT hearing notices</w:t>
      </w:r>
      <w:r w:rsidR="0032746B">
        <w:t xml:space="preserve"> were shared</w:t>
      </w:r>
      <w:r w:rsidR="00D9271D" w:rsidRPr="0034365D">
        <w:t xml:space="preserve"> to all relevant parties</w:t>
      </w:r>
      <w:r w:rsidR="00D9271D" w:rsidRPr="00D9271D">
        <w:t xml:space="preserve"> from a previous hearing</w:t>
      </w:r>
      <w:r w:rsidR="0074313F">
        <w:t>, which raises concern about the privacy of the individual subject to the application</w:t>
      </w:r>
      <w:r w:rsidR="00D9271D" w:rsidRPr="00D9271D">
        <w:t xml:space="preserve">. </w:t>
      </w:r>
      <w:r w:rsidR="003F5BEE">
        <w:t>This is p</w:t>
      </w:r>
      <w:r w:rsidR="00D9271D" w:rsidRPr="00D9271D">
        <w:t>articularly problematic where circumstances change, like a D</w:t>
      </w:r>
      <w:r w:rsidR="003F5BEE">
        <w:t xml:space="preserve">omestic and Family Violence Order </w:t>
      </w:r>
      <w:r w:rsidR="00D9271D" w:rsidRPr="00D9271D">
        <w:t xml:space="preserve">might be in </w:t>
      </w:r>
      <w:r w:rsidR="005C18F3" w:rsidRPr="00D9271D">
        <w:t>place,</w:t>
      </w:r>
      <w:r w:rsidR="00D9271D" w:rsidRPr="00D9271D">
        <w:t xml:space="preserve"> and the </w:t>
      </w:r>
      <w:r w:rsidR="005A5369">
        <w:t xml:space="preserve">alleged perpetrator </w:t>
      </w:r>
      <w:r w:rsidR="00D9271D" w:rsidRPr="00D9271D">
        <w:t xml:space="preserve">might still be a “relevant party” from </w:t>
      </w:r>
      <w:r w:rsidR="005C18F3">
        <w:t xml:space="preserve">a </w:t>
      </w:r>
      <w:r w:rsidR="00D9271D" w:rsidRPr="00D9271D">
        <w:t xml:space="preserve">previous </w:t>
      </w:r>
      <w:r w:rsidR="000465C5">
        <w:t>hearing</w:t>
      </w:r>
      <w:r w:rsidR="0074452E">
        <w:t xml:space="preserve">, </w:t>
      </w:r>
      <w:r w:rsidR="008673A1">
        <w:t>and a breach of conditions on the DVO could occur</w:t>
      </w:r>
      <w:r w:rsidR="00D9271D" w:rsidRPr="00D9271D">
        <w:t xml:space="preserve">. </w:t>
      </w:r>
      <w:r w:rsidR="005C18F3">
        <w:t>We have seen case</w:t>
      </w:r>
      <w:r w:rsidR="00F50B57">
        <w:t>s</w:t>
      </w:r>
      <w:r w:rsidR="005C18F3">
        <w:t xml:space="preserve"> where </w:t>
      </w:r>
      <w:r w:rsidR="00D9271D" w:rsidRPr="00D9271D">
        <w:t>service provider</w:t>
      </w:r>
      <w:r w:rsidR="00F50B57">
        <w:t>s</w:t>
      </w:r>
      <w:r w:rsidR="005C18F3">
        <w:t xml:space="preserve"> who</w:t>
      </w:r>
      <w:r w:rsidR="00D9271D" w:rsidRPr="00D9271D">
        <w:t xml:space="preserve"> made an application in the </w:t>
      </w:r>
      <w:r w:rsidR="005C18F3" w:rsidRPr="00D9271D">
        <w:t>past</w:t>
      </w:r>
      <w:r w:rsidR="00D9271D" w:rsidRPr="00D9271D">
        <w:t xml:space="preserve"> w</w:t>
      </w:r>
      <w:r w:rsidR="008E09AE">
        <w:t>ere</w:t>
      </w:r>
      <w:r w:rsidR="00D9271D" w:rsidRPr="00D9271D">
        <w:t xml:space="preserve"> kept in the records</w:t>
      </w:r>
      <w:r w:rsidR="005C18F3">
        <w:t xml:space="preserve"> for a future application</w:t>
      </w:r>
      <w:r w:rsidR="00D9271D" w:rsidRPr="00D9271D">
        <w:t>.</w:t>
      </w:r>
      <w:r w:rsidR="008D277A">
        <w:t xml:space="preserve"> We have also seen instances where a child safety officer </w:t>
      </w:r>
      <w:r w:rsidR="00CB418F">
        <w:t xml:space="preserve">who made an application for a guardian and administrator to be appointed was kept on the records and years later </w:t>
      </w:r>
      <w:r w:rsidR="00F43F51">
        <w:t>when the order review comes up, they were still listed as a relevant party</w:t>
      </w:r>
      <w:r w:rsidR="00792076">
        <w:t xml:space="preserve"> and notified about the new hearing, even though the person was over 18 and no longer under </w:t>
      </w:r>
      <w:r w:rsidR="00541C55">
        <w:t>the protection of Child Safety.</w:t>
      </w:r>
      <w:r w:rsidR="00F43F51">
        <w:t xml:space="preserve"> </w:t>
      </w:r>
      <w:r w:rsidR="005C18F3">
        <w:t xml:space="preserve"> </w:t>
      </w:r>
      <w:r w:rsidR="00A93E5B">
        <w:t xml:space="preserve">The Registrar should </w:t>
      </w:r>
      <w:r w:rsidR="00D9271D" w:rsidRPr="00D9271D">
        <w:t>check</w:t>
      </w:r>
      <w:r w:rsidR="00D6740F">
        <w:t xml:space="preserve"> the </w:t>
      </w:r>
      <w:r w:rsidR="00D11C9D">
        <w:t>matter,</w:t>
      </w:r>
      <w:r w:rsidR="00D6740F">
        <w:t xml:space="preserve"> and </w:t>
      </w:r>
      <w:r w:rsidR="00057641">
        <w:t xml:space="preserve">whether </w:t>
      </w:r>
      <w:r w:rsidR="00D6740F">
        <w:t xml:space="preserve">all the relevant parties are in fact </w:t>
      </w:r>
      <w:r w:rsidR="004673AE">
        <w:t xml:space="preserve">still </w:t>
      </w:r>
      <w:r w:rsidR="00D6740F">
        <w:t>relevant</w:t>
      </w:r>
      <w:r w:rsidR="00D9271D" w:rsidRPr="00D9271D">
        <w:t xml:space="preserve">. New matters should </w:t>
      </w:r>
      <w:r w:rsidR="00D11C9D">
        <w:t xml:space="preserve">not </w:t>
      </w:r>
      <w:r w:rsidR="00EA4F03">
        <w:t>automatically include parties t</w:t>
      </w:r>
      <w:r w:rsidR="007628AA">
        <w:t>hat were involved in</w:t>
      </w:r>
      <w:r w:rsidR="00EA4F03">
        <w:t xml:space="preserve"> previous matters</w:t>
      </w:r>
      <w:r w:rsidR="007628AA">
        <w:t>.</w:t>
      </w:r>
    </w:p>
    <w:p w14:paraId="5739D038" w14:textId="1D3D064E" w:rsidR="00C01344" w:rsidRDefault="00360A79" w:rsidP="002965E9">
      <w:pPr>
        <w:spacing w:before="120" w:after="120"/>
      </w:pPr>
      <w:r>
        <w:t>We have</w:t>
      </w:r>
      <w:r w:rsidR="00A1454C">
        <w:t xml:space="preserve"> also</w:t>
      </w:r>
      <w:r>
        <w:t xml:space="preserve"> experience</w:t>
      </w:r>
      <w:r w:rsidR="004C381C">
        <w:t>d</w:t>
      </w:r>
      <w:r>
        <w:t xml:space="preserve"> </w:t>
      </w:r>
      <w:r w:rsidR="00A1454C">
        <w:t xml:space="preserve">difficulties accessing documents </w:t>
      </w:r>
      <w:r w:rsidR="00E204E9">
        <w:t xml:space="preserve">for matters that were </w:t>
      </w:r>
      <w:r>
        <w:t xml:space="preserve">referred </w:t>
      </w:r>
      <w:r w:rsidR="00E204E9">
        <w:t xml:space="preserve">to QCAT </w:t>
      </w:r>
      <w:r w:rsidR="002B56A7">
        <w:t xml:space="preserve">from </w:t>
      </w:r>
      <w:r>
        <w:t xml:space="preserve">the Magistrate Court </w:t>
      </w:r>
      <w:r w:rsidR="00E204E9">
        <w:t>due to</w:t>
      </w:r>
      <w:r>
        <w:t xml:space="preserve"> confidentiality order</w:t>
      </w:r>
      <w:r w:rsidR="00E204E9">
        <w:t>s</w:t>
      </w:r>
      <w:r w:rsidR="002B56A7">
        <w:t xml:space="preserve">. </w:t>
      </w:r>
      <w:r w:rsidR="00012E95">
        <w:t xml:space="preserve">While we understand the </w:t>
      </w:r>
      <w:r w:rsidR="0097765E">
        <w:t xml:space="preserve">privacy </w:t>
      </w:r>
      <w:r w:rsidR="00012E95">
        <w:t>protections</w:t>
      </w:r>
      <w:r w:rsidR="0097765E">
        <w:t xml:space="preserve"> required in some cases, </w:t>
      </w:r>
      <w:r w:rsidR="00D04A75">
        <w:t xml:space="preserve">not being able to access information or evidence because of confidentiality orders impacts our ability to represent our clients. </w:t>
      </w:r>
      <w:r w:rsidR="005B6557">
        <w:t xml:space="preserve">Therefore, the Registrar should review the need to maintain confidentiality orders made by the Magistrate Court, and if that order </w:t>
      </w:r>
      <w:r w:rsidR="000D3606">
        <w:t xml:space="preserve">needs to be maintained, there should be exceptions in place to allow representatives to access information and evidence before </w:t>
      </w:r>
      <w:r w:rsidR="00CB0B35">
        <w:t xml:space="preserve">QCAT. </w:t>
      </w:r>
    </w:p>
    <w:p w14:paraId="236B914F" w14:textId="5871BE85" w:rsidR="7D5F08A5" w:rsidRDefault="7D5F08A5" w:rsidP="002965E9">
      <w:pPr>
        <w:spacing w:before="120" w:after="120"/>
      </w:pPr>
      <w:r>
        <w:t xml:space="preserve">Confidentiality should be discretionary and </w:t>
      </w:r>
      <w:proofErr w:type="gramStart"/>
      <w:r>
        <w:t>take into account</w:t>
      </w:r>
      <w:proofErr w:type="gramEnd"/>
      <w:r>
        <w:t xml:space="preserve"> the views and wishes of the adult. </w:t>
      </w:r>
    </w:p>
    <w:p w14:paraId="3BB73638" w14:textId="10B80BB7" w:rsidR="00DD6CCD" w:rsidRDefault="00DD6CCD" w:rsidP="002965E9">
      <w:pPr>
        <w:spacing w:before="120" w:after="120"/>
      </w:pPr>
      <w:r>
        <w:lastRenderedPageBreak/>
        <w:t>When negotiating settlements in Compulsory Conferences for discrimination matters, QCAT should inform parties of and encourage compliance with</w:t>
      </w:r>
      <w:r w:rsidR="00531307">
        <w:t xml:space="preserve"> “Guideline </w:t>
      </w:r>
      <w:r w:rsidR="00F91A4D">
        <w:t xml:space="preserve">on the Use of Confidentiality Clauses </w:t>
      </w:r>
      <w:r w:rsidR="007B1225">
        <w:t>i</w:t>
      </w:r>
      <w:r w:rsidR="00F91A4D">
        <w:t xml:space="preserve">n </w:t>
      </w:r>
      <w:r w:rsidR="007B1225">
        <w:t>t</w:t>
      </w:r>
      <w:r w:rsidR="00F91A4D">
        <w:t xml:space="preserve">he Resolution </w:t>
      </w:r>
      <w:r w:rsidR="007B1225">
        <w:t>o</w:t>
      </w:r>
      <w:r w:rsidR="00F91A4D">
        <w:t>f Workplace Sexual Harassment Complaints</w:t>
      </w:r>
      <w:r w:rsidR="00531307">
        <w:t>”</w:t>
      </w:r>
      <w:r w:rsidR="00C22A51">
        <w:t>.</w:t>
      </w:r>
      <w:r w:rsidR="00C22A51">
        <w:rPr>
          <w:rStyle w:val="FootnoteReference"/>
        </w:rPr>
        <w:footnoteReference w:id="31"/>
      </w:r>
      <w:r w:rsidR="00F91A4D">
        <w:t xml:space="preserve"> </w:t>
      </w:r>
      <w:r>
        <w:t>These guidelines should be adapted to apply to all discrimination matters, not just sexual harassment</w:t>
      </w:r>
      <w:r w:rsidR="00F91A4D">
        <w:t>.</w:t>
      </w:r>
    </w:p>
    <w:p w14:paraId="52262698" w14:textId="5C528386" w:rsidR="000B2EC5" w:rsidRDefault="000B2EC5" w:rsidP="0075651E">
      <w:pPr>
        <w:pStyle w:val="QAIHeading2"/>
      </w:pPr>
      <w:r>
        <w:t xml:space="preserve">QCAT as a </w:t>
      </w:r>
      <w:r w:rsidRPr="00D9271D">
        <w:t>specialist</w:t>
      </w:r>
      <w:r>
        <w:t xml:space="preserve"> </w:t>
      </w:r>
      <w:r w:rsidR="56AF495B">
        <w:t>t</w:t>
      </w:r>
      <w:r>
        <w:t>ribunal</w:t>
      </w:r>
    </w:p>
    <w:p w14:paraId="4477EC75" w14:textId="1ADFFD10" w:rsidR="00A1239A" w:rsidRDefault="009D0B7B" w:rsidP="003575CF">
      <w:pPr>
        <w:spacing w:before="120" w:after="120"/>
      </w:pPr>
      <w:r>
        <w:t xml:space="preserve">In 2022, the QHRC’s Building Belonging report </w:t>
      </w:r>
      <w:r w:rsidR="000F6C44">
        <w:t xml:space="preserve">considered </w:t>
      </w:r>
      <w:r w:rsidR="00155628">
        <w:t>the powers of QCAT in the anti-discrimination space.</w:t>
      </w:r>
      <w:r w:rsidR="00155628">
        <w:rPr>
          <w:rStyle w:val="FootnoteReference"/>
        </w:rPr>
        <w:footnoteReference w:id="32"/>
      </w:r>
      <w:r w:rsidR="00115C19">
        <w:t xml:space="preserve"> Following consultation with the sector, the </w:t>
      </w:r>
      <w:r w:rsidR="00C51202">
        <w:t xml:space="preserve">report did not recommend </w:t>
      </w:r>
      <w:r w:rsidR="00403A45">
        <w:t xml:space="preserve">creating a specialist tribunal. Instead, </w:t>
      </w:r>
      <w:r w:rsidR="00582FA6">
        <w:t xml:space="preserve">it was recommended </w:t>
      </w:r>
      <w:r w:rsidR="1C38FDB0">
        <w:t>that</w:t>
      </w:r>
      <w:r w:rsidR="00A1239A">
        <w:t>:</w:t>
      </w:r>
      <w:r w:rsidR="00A1239A">
        <w:rPr>
          <w:rStyle w:val="FootnoteReference"/>
        </w:rPr>
        <w:footnoteReference w:id="33"/>
      </w:r>
    </w:p>
    <w:p w14:paraId="45DDC93E" w14:textId="21BA32CA" w:rsidR="00E22F81" w:rsidRDefault="00582FA6" w:rsidP="003575CF">
      <w:pPr>
        <w:pStyle w:val="ListParagraph"/>
        <w:numPr>
          <w:ilvl w:val="0"/>
          <w:numId w:val="2"/>
        </w:numPr>
        <w:spacing w:before="120" w:after="120"/>
      </w:pPr>
      <w:r>
        <w:t>The tribunal should ensure that</w:t>
      </w:r>
      <w:r w:rsidR="00A602A2">
        <w:t>, wherever possible, members who deal with matters under the Act have demonstrated knowledge and experience in discrimination law.</w:t>
      </w:r>
    </w:p>
    <w:p w14:paraId="48D5D7EA" w14:textId="5F20EC67" w:rsidR="00512935" w:rsidRDefault="00512935" w:rsidP="003575CF">
      <w:pPr>
        <w:pStyle w:val="ListParagraph"/>
        <w:numPr>
          <w:ilvl w:val="0"/>
          <w:numId w:val="2"/>
        </w:numPr>
        <w:spacing w:before="120" w:after="120"/>
      </w:pPr>
      <w:r w:rsidRPr="00512935">
        <w:t xml:space="preserve">When considering appointments to the tribunals, the Queensland Government should have regard to the benefits associated with tribunal membership reflecting the diversity of the community that comes before them. </w:t>
      </w:r>
    </w:p>
    <w:p w14:paraId="520D69D8" w14:textId="505877D2" w:rsidR="001E3E0B" w:rsidRDefault="00512935" w:rsidP="003575CF">
      <w:pPr>
        <w:pStyle w:val="ListParagraph"/>
        <w:numPr>
          <w:ilvl w:val="0"/>
          <w:numId w:val="2"/>
        </w:numPr>
        <w:spacing w:before="120" w:after="120"/>
      </w:pPr>
      <w:r w:rsidRPr="00512935">
        <w:t>The Tribunal should ensure that members undertake regular training on cultural competency.</w:t>
      </w:r>
    </w:p>
    <w:p w14:paraId="3B3957ED" w14:textId="515B1BDB" w:rsidR="002A0D63" w:rsidRDefault="589E6E02" w:rsidP="003575CF">
      <w:pPr>
        <w:spacing w:before="120" w:after="120"/>
      </w:pPr>
      <w:r>
        <w:t xml:space="preserve">QAI supports the requirement for specially trained members to decide guardianship and administration matters. We </w:t>
      </w:r>
      <w:r w:rsidR="01DFA0FE">
        <w:t xml:space="preserve">believe that a legally qualified member must constitute the </w:t>
      </w:r>
      <w:r w:rsidR="003A7E50">
        <w:t>panel but</w:t>
      </w:r>
      <w:r w:rsidR="01DFA0FE">
        <w:t xml:space="preserve"> believe that a legal member could be greatly assisted by another member, or members, who have other relevant qualifications. </w:t>
      </w:r>
      <w:r w:rsidR="7867A8F7">
        <w:t xml:space="preserve">This could include, for example, a medical doctor and an allied </w:t>
      </w:r>
      <w:r w:rsidR="70DCB086">
        <w:t>health</w:t>
      </w:r>
      <w:r w:rsidR="7867A8F7">
        <w:t xml:space="preserve"> professional. </w:t>
      </w:r>
    </w:p>
    <w:p w14:paraId="235DED84" w14:textId="33A10506" w:rsidR="002A0D63" w:rsidRDefault="7867A8F7" w:rsidP="003575CF">
      <w:pPr>
        <w:spacing w:before="120" w:after="120"/>
      </w:pPr>
      <w:r>
        <w:t xml:space="preserve">The </w:t>
      </w:r>
      <w:r w:rsidR="009524FD">
        <w:t>MHRT</w:t>
      </w:r>
      <w:r>
        <w:t xml:space="preserve"> </w:t>
      </w:r>
      <w:r w:rsidR="36B7180E">
        <w:t xml:space="preserve">offers a </w:t>
      </w:r>
      <w:r w:rsidR="466DFBA7">
        <w:t xml:space="preserve">model that could guide QCAT in this regard. We also refer to </w:t>
      </w:r>
      <w:r w:rsidR="6F83EE36">
        <w:t>occupational regulation matters which QCAT currently oversees</w:t>
      </w:r>
      <w:r w:rsidR="7E6D2ABF">
        <w:t xml:space="preserve">. For example, in medical regulation matters, a legal member may be assisted by members of the medical profession. </w:t>
      </w:r>
    </w:p>
    <w:p w14:paraId="3ADB91BC" w14:textId="41E83A98" w:rsidR="410B9FEE" w:rsidRDefault="410B9FEE" w:rsidP="003575CF">
      <w:pPr>
        <w:spacing w:before="120" w:after="120"/>
      </w:pPr>
      <w:r>
        <w:t xml:space="preserve">We also recommend that a specialist registry within QCAT be formed </w:t>
      </w:r>
      <w:r w:rsidR="00FA081B">
        <w:t xml:space="preserve">to </w:t>
      </w:r>
      <w:r>
        <w:t>administer the matters.</w:t>
      </w:r>
    </w:p>
    <w:p w14:paraId="09B1E8AB" w14:textId="7D0B5554" w:rsidR="002A0D63" w:rsidRDefault="004834BB" w:rsidP="003575CF">
      <w:pPr>
        <w:spacing w:before="120" w:after="120"/>
      </w:pPr>
      <w:r>
        <w:lastRenderedPageBreak/>
        <w:t xml:space="preserve">We support the QHRC’s </w:t>
      </w:r>
      <w:r w:rsidR="00C65A6A">
        <w:t xml:space="preserve">position and </w:t>
      </w:r>
      <w:r w:rsidR="0020593A">
        <w:t>ask for</w:t>
      </w:r>
      <w:r w:rsidR="00C65A6A">
        <w:t xml:space="preserve"> the implementation of </w:t>
      </w:r>
      <w:r w:rsidR="0020593A">
        <w:t xml:space="preserve">recommendations 4.12 to 4.14 of the Building Belonging report, which should apply to all the QCAT Human Rights Division, and not be limited to </w:t>
      </w:r>
      <w:r w:rsidR="002A0D63">
        <w:t>anti-discrimination matters only.</w:t>
      </w:r>
    </w:p>
    <w:p w14:paraId="3A8B1BC0" w14:textId="64B64BC1" w:rsidR="006A73D0" w:rsidRPr="00EB793E" w:rsidRDefault="00113777" w:rsidP="0075651E">
      <w:pPr>
        <w:pStyle w:val="QAIHeading2"/>
      </w:pPr>
      <w:r>
        <w:t>Other issues</w:t>
      </w:r>
    </w:p>
    <w:p w14:paraId="0DE3D3C3" w14:textId="77777777" w:rsidR="006A73D0" w:rsidRPr="006A73D0" w:rsidRDefault="00062E9D" w:rsidP="001965E1">
      <w:pPr>
        <w:spacing w:before="120" w:after="120"/>
        <w:rPr>
          <w:b/>
          <w:bCs/>
          <w:color w:val="333333"/>
        </w:rPr>
      </w:pPr>
      <w:r w:rsidRPr="006A73D0">
        <w:rPr>
          <w:b/>
          <w:bCs/>
          <w:color w:val="333333"/>
        </w:rPr>
        <w:t>Litigation guardians</w:t>
      </w:r>
    </w:p>
    <w:p w14:paraId="0E33ADA0" w14:textId="58508667" w:rsidR="00723B1B" w:rsidRPr="00062E9D" w:rsidRDefault="003136BF" w:rsidP="001965E1">
      <w:pPr>
        <w:spacing w:before="120" w:after="120"/>
      </w:pPr>
      <w:r w:rsidRPr="003136BF">
        <w:t>In November 2024</w:t>
      </w:r>
      <w:r>
        <w:t xml:space="preserve">, the </w:t>
      </w:r>
      <w:r w:rsidR="003C37A0">
        <w:t xml:space="preserve">Office of the </w:t>
      </w:r>
      <w:r>
        <w:t>Public Advocate</w:t>
      </w:r>
      <w:r w:rsidR="003C37A0">
        <w:t xml:space="preserve"> (OPA)</w:t>
      </w:r>
      <w:r>
        <w:t xml:space="preserve"> hosted a roundtable with various stakeholders, including QAI, to discuss </w:t>
      </w:r>
      <w:r w:rsidR="00A35FBC" w:rsidRPr="00A35FBC">
        <w:t>problems with the operation of litigation guardianship and to identify potential solutions</w:t>
      </w:r>
      <w:r w:rsidR="00B42D86">
        <w:t>.</w:t>
      </w:r>
      <w:r w:rsidR="00B42D86">
        <w:rPr>
          <w:rStyle w:val="FootnoteReference"/>
        </w:rPr>
        <w:footnoteReference w:id="34"/>
      </w:r>
      <w:r w:rsidR="00B42D86">
        <w:t xml:space="preserve"> </w:t>
      </w:r>
      <w:r w:rsidR="00F10DF1">
        <w:t xml:space="preserve">We </w:t>
      </w:r>
      <w:r w:rsidR="003C37A0">
        <w:t xml:space="preserve">propose the recommendations made by the OPA are </w:t>
      </w:r>
      <w:r w:rsidR="00476ADE">
        <w:t>implement</w:t>
      </w:r>
      <w:r w:rsidR="00DC3723">
        <w:t>ed</w:t>
      </w:r>
      <w:r w:rsidR="0020050E">
        <w:t xml:space="preserve"> as part of the QCAT Act Review</w:t>
      </w:r>
      <w:r w:rsidR="00A21F4C">
        <w:t>.</w:t>
      </w:r>
    </w:p>
    <w:p w14:paraId="1311DCE7" w14:textId="061A4E20" w:rsidR="00EB793E" w:rsidRPr="001965E1" w:rsidRDefault="00940D89" w:rsidP="001965E1">
      <w:pPr>
        <w:spacing w:before="120" w:after="120"/>
      </w:pPr>
      <w:r w:rsidRPr="00EB793E">
        <w:rPr>
          <w:b/>
          <w:bCs/>
          <w:color w:val="333333"/>
        </w:rPr>
        <w:t>Data</w:t>
      </w:r>
    </w:p>
    <w:p w14:paraId="4C81068B" w14:textId="478522AE" w:rsidR="00113777" w:rsidRDefault="00113777" w:rsidP="001965E1">
      <w:pPr>
        <w:spacing w:before="120" w:after="120"/>
      </w:pPr>
      <w:r>
        <w:t>QCAT</w:t>
      </w:r>
      <w:r w:rsidR="00214E1A">
        <w:t>’s</w:t>
      </w:r>
      <w:r>
        <w:t xml:space="preserve"> </w:t>
      </w:r>
      <w:r w:rsidR="00684470">
        <w:t xml:space="preserve">annual report should </w:t>
      </w:r>
      <w:r w:rsidR="637A43FD">
        <w:t>record how many adults are legally represented in guardianship and administration proceedings</w:t>
      </w:r>
      <w:r w:rsidR="06C5BB8E">
        <w:t>.</w:t>
      </w:r>
      <w:r w:rsidR="005F446A">
        <w:t xml:space="preserve"> </w:t>
      </w:r>
      <w:r w:rsidR="009114B6">
        <w:t>QCAT should also capture and record the number of matters heard in person, by remote conferencing or decided on the papers</w:t>
      </w:r>
      <w:r w:rsidR="00A3711A">
        <w:t xml:space="preserve">. </w:t>
      </w:r>
    </w:p>
    <w:p w14:paraId="50781045" w14:textId="02629C9F" w:rsidR="003D7188" w:rsidRPr="004F0C80" w:rsidRDefault="003D7188" w:rsidP="0075651E">
      <w:pPr>
        <w:pStyle w:val="QAIHeading2"/>
        <w:rPr>
          <w:sz w:val="24"/>
          <w:szCs w:val="24"/>
        </w:rPr>
      </w:pPr>
      <w:r w:rsidRPr="004F0C80">
        <w:t>Conclusion</w:t>
      </w:r>
    </w:p>
    <w:p w14:paraId="66A9EE2C" w14:textId="4BA6F1C9" w:rsidR="000235BC" w:rsidRDefault="003D7188" w:rsidP="00D0549B">
      <w:pPr>
        <w:spacing w:before="120" w:after="120"/>
      </w:pPr>
      <w:bookmarkStart w:id="4" w:name="_Toc130476831"/>
      <w:r w:rsidRPr="004F0C80">
        <w:t xml:space="preserve">QAI thanks the </w:t>
      </w:r>
      <w:r>
        <w:t>QCAT Review team</w:t>
      </w:r>
      <w:r w:rsidRPr="004F0C80">
        <w:t xml:space="preserve"> for the opportunity to contribute to this </w:t>
      </w:r>
      <w:r>
        <w:t>consultation</w:t>
      </w:r>
      <w:r w:rsidRPr="004F0C80">
        <w:t>.  We are happy to provide further information or clarification of any of the matters raised in this submission upon request.</w:t>
      </w:r>
      <w:bookmarkEnd w:id="3"/>
      <w:bookmarkEnd w:id="4"/>
    </w:p>
    <w:p w14:paraId="431B08C4" w14:textId="6C46B55F" w:rsidR="009855BB" w:rsidRDefault="009855BB" w:rsidP="00D03240">
      <w:pPr>
        <w:spacing w:before="240" w:after="240"/>
      </w:pPr>
      <w:r>
        <w:t xml:space="preserve">This submission is endorsed by </w:t>
      </w:r>
      <w:r w:rsidR="00D0549B">
        <w:t>QIDAN</w:t>
      </w:r>
      <w:r w:rsidR="00307AF4">
        <w:t xml:space="preserve"> and Mackay Advocacy Inc</w:t>
      </w:r>
      <w:r w:rsidR="00294B0C">
        <w:t>.</w:t>
      </w:r>
      <w:r w:rsidR="004276B8">
        <w:t>:</w:t>
      </w:r>
    </w:p>
    <w:p w14:paraId="6FBA1C9C" w14:textId="77777777" w:rsidR="00D50751" w:rsidRDefault="004276B8" w:rsidP="00D50751">
      <w:pPr>
        <w:spacing w:before="240" w:after="240"/>
        <w:jc w:val="center"/>
      </w:pPr>
      <w:r>
        <w:rPr>
          <w:noProof/>
        </w:rPr>
        <w:drawing>
          <wp:anchor distT="0" distB="0" distL="114300" distR="114300" simplePos="0" relativeHeight="251661312" behindDoc="1" locked="0" layoutInCell="1" allowOverlap="1" wp14:anchorId="66FEB3DE" wp14:editId="44A9EB73">
            <wp:simplePos x="0" y="0"/>
            <wp:positionH relativeFrom="margin">
              <wp:align>left</wp:align>
            </wp:positionH>
            <wp:positionV relativeFrom="paragraph">
              <wp:posOffset>6985</wp:posOffset>
            </wp:positionV>
            <wp:extent cx="2566800" cy="2052000"/>
            <wp:effectExtent l="0" t="0" r="5080" b="5715"/>
            <wp:wrapTight wrapText="bothSides">
              <wp:wrapPolygon edited="0">
                <wp:start x="0" y="0"/>
                <wp:lineTo x="0" y="21460"/>
                <wp:lineTo x="21482" y="21460"/>
                <wp:lineTo x="21482" y="0"/>
                <wp:lineTo x="0" y="0"/>
              </wp:wrapPolygon>
            </wp:wrapTight>
            <wp:docPr id="144487104" name="Picture 2" descr="Queensland Independent Disability Advocacy Net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87104" name="Picture 2" descr="A logo for a disability advocacy network&#10;&#10;AI-generated content may be incorrect."/>
                    <pic:cNvPicPr/>
                  </pic:nvPicPr>
                  <pic:blipFill>
                    <a:blip r:embed="rId13"/>
                    <a:stretch>
                      <a:fillRect/>
                    </a:stretch>
                  </pic:blipFill>
                  <pic:spPr>
                    <a:xfrm>
                      <a:off x="0" y="0"/>
                      <a:ext cx="2566800" cy="2052000"/>
                    </a:xfrm>
                    <a:prstGeom prst="rect">
                      <a:avLst/>
                    </a:prstGeom>
                  </pic:spPr>
                </pic:pic>
              </a:graphicData>
            </a:graphic>
            <wp14:sizeRelH relativeFrom="page">
              <wp14:pctWidth>0</wp14:pctWidth>
            </wp14:sizeRelH>
            <wp14:sizeRelV relativeFrom="page">
              <wp14:pctHeight>0</wp14:pctHeight>
            </wp14:sizeRelV>
          </wp:anchor>
        </w:drawing>
      </w:r>
    </w:p>
    <w:p w14:paraId="02ADDF3F" w14:textId="28B2D5A0" w:rsidR="00D50751" w:rsidRPr="00D50751" w:rsidRDefault="00481606" w:rsidP="00D50751">
      <w:pPr>
        <w:spacing w:before="240" w:after="240"/>
        <w:jc w:val="center"/>
      </w:pPr>
      <w:r>
        <w:rPr>
          <w:noProof/>
        </w:rPr>
        <w:drawing>
          <wp:anchor distT="0" distB="0" distL="114300" distR="114300" simplePos="0" relativeHeight="251662336" behindDoc="1" locked="0" layoutInCell="1" allowOverlap="1" wp14:anchorId="3164CA33" wp14:editId="3E69C62B">
            <wp:simplePos x="0" y="0"/>
            <wp:positionH relativeFrom="column">
              <wp:align>right</wp:align>
            </wp:positionH>
            <wp:positionV relativeFrom="paragraph">
              <wp:posOffset>266700</wp:posOffset>
            </wp:positionV>
            <wp:extent cx="2851200" cy="633600"/>
            <wp:effectExtent l="0" t="0" r="6350" b="0"/>
            <wp:wrapTight wrapText="bothSides">
              <wp:wrapPolygon edited="0">
                <wp:start x="0" y="0"/>
                <wp:lineTo x="0" y="20798"/>
                <wp:lineTo x="21504" y="20798"/>
                <wp:lineTo x="21504" y="0"/>
                <wp:lineTo x="0" y="0"/>
              </wp:wrapPolygon>
            </wp:wrapTight>
            <wp:docPr id="1179685807" name="Picture 4" descr="Mackay Advocacy Incorporat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685807" name="Picture 4" descr="A blue rectangle with white tex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1200" cy="63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7627A3" w14:textId="635A29C2" w:rsidR="00B03618" w:rsidRPr="004F0C80" w:rsidRDefault="00B03618" w:rsidP="00D50751">
      <w:pPr>
        <w:spacing w:before="240" w:after="240"/>
        <w:jc w:val="center"/>
      </w:pPr>
    </w:p>
    <w:sectPr w:rsidR="00B03618" w:rsidRPr="004F0C80" w:rsidSect="00606F93">
      <w:footerReference w:type="default" r:id="rId15"/>
      <w:headerReference w:type="first" r:id="rId16"/>
      <w:footerReference w:type="first" r:id="rId17"/>
      <w:pgSz w:w="11900" w:h="16840"/>
      <w:pgMar w:top="1440" w:right="1127" w:bottom="567" w:left="1134" w:header="851"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FC6FB" w14:textId="77777777" w:rsidR="003E0DEF" w:rsidRPr="004F0C80" w:rsidRDefault="003E0DEF" w:rsidP="00781D4C">
      <w:r w:rsidRPr="004F0C80">
        <w:separator/>
      </w:r>
    </w:p>
  </w:endnote>
  <w:endnote w:type="continuationSeparator" w:id="0">
    <w:p w14:paraId="1DF8618E" w14:textId="77777777" w:rsidR="003E0DEF" w:rsidRPr="004F0C80" w:rsidRDefault="003E0DEF" w:rsidP="00781D4C">
      <w:r w:rsidRPr="004F0C80">
        <w:continuationSeparator/>
      </w:r>
    </w:p>
  </w:endnote>
  <w:endnote w:type="continuationNotice" w:id="1">
    <w:p w14:paraId="4B35EDDC" w14:textId="77777777" w:rsidR="003E0DEF" w:rsidRPr="004F0C80" w:rsidRDefault="003E0DE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ource Sans Pro">
    <w:altName w:val="Arial"/>
    <w:charset w:val="00"/>
    <w:family w:val="swiss"/>
    <w:pitch w:val="variable"/>
    <w:sig w:usb0="600002F7" w:usb1="02000001" w:usb2="00000000" w:usb3="00000000" w:csb0="0000019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altName w:val="Segoe UI"/>
    <w:charset w:val="00"/>
    <w:family w:val="swiss"/>
    <w:pitch w:val="variable"/>
    <w:sig w:usb0="E1000AEF" w:usb1="5000A1FF" w:usb2="00000000" w:usb3="00000000" w:csb0="000001BF" w:csb1="00000000"/>
  </w:font>
  <w:font w:name="Roboto Black">
    <w:charset w:val="00"/>
    <w:family w:val="auto"/>
    <w:pitch w:val="variable"/>
    <w:sig w:usb0="E0000AFF" w:usb1="5000217F" w:usb2="00000021" w:usb3="00000000" w:csb0="0000019F" w:csb1="00000000"/>
  </w:font>
  <w:font w:name="Nunito Sans Light">
    <w:charset w:val="00"/>
    <w:family w:val="auto"/>
    <w:pitch w:val="variable"/>
    <w:sig w:usb0="A00002FF" w:usb1="5000204B" w:usb2="00000000" w:usb3="00000000" w:csb0="00000197" w:csb1="00000000"/>
  </w:font>
  <w:font w:name="Roboto Medium">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3702457"/>
      <w:docPartObj>
        <w:docPartGallery w:val="Page Numbers (Bottom of Page)"/>
        <w:docPartUnique/>
      </w:docPartObj>
    </w:sdtPr>
    <w:sdtEndPr/>
    <w:sdtContent>
      <w:p w14:paraId="630A5DB0" w14:textId="7C6AEB44" w:rsidR="009950ED" w:rsidRPr="004F0C80" w:rsidRDefault="009950ED">
        <w:pPr>
          <w:pStyle w:val="Footer"/>
          <w:jc w:val="right"/>
        </w:pPr>
        <w:r w:rsidRPr="004F0C80">
          <w:fldChar w:fldCharType="begin"/>
        </w:r>
        <w:r w:rsidRPr="004F0C80">
          <w:instrText xml:space="preserve"> PAGE   \* MERGEFORMAT </w:instrText>
        </w:r>
        <w:r w:rsidRPr="004F0C80">
          <w:fldChar w:fldCharType="separate"/>
        </w:r>
        <w:r w:rsidRPr="004F0C80">
          <w:t>2</w:t>
        </w:r>
        <w:r w:rsidRPr="004F0C80">
          <w:fldChar w:fldCharType="end"/>
        </w:r>
      </w:p>
    </w:sdtContent>
  </w:sdt>
  <w:p w14:paraId="78D373B2" w14:textId="77777777" w:rsidR="009950ED" w:rsidRPr="004F0C80" w:rsidRDefault="009950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7DCF7" w14:textId="004A4FC5" w:rsidR="00F62FBF" w:rsidRPr="004F0C80" w:rsidRDefault="00EE6F4C">
    <w:pPr>
      <w:pStyle w:val="Footer"/>
    </w:pPr>
    <w:r w:rsidRPr="004F0C80">
      <w:rPr>
        <w:noProof/>
      </w:rPr>
      <w:drawing>
        <wp:anchor distT="0" distB="0" distL="114300" distR="114300" simplePos="0" relativeHeight="251658240" behindDoc="1" locked="0" layoutInCell="1" allowOverlap="0" wp14:anchorId="3DE2DC4F" wp14:editId="6E89979F">
          <wp:simplePos x="0" y="0"/>
          <wp:positionH relativeFrom="page">
            <wp:align>left</wp:align>
          </wp:positionH>
          <wp:positionV relativeFrom="page">
            <wp:align>bottom</wp:align>
          </wp:positionV>
          <wp:extent cx="7560000" cy="903600"/>
          <wp:effectExtent l="0" t="0" r="0" b="0"/>
          <wp:wrapNone/>
          <wp:docPr id="1061309618" name="Picture 2" descr="advocacy for people with disability. Phone number is 07 3844 4200, email address is qai@qai.org.au website is qai.org.au and address is South Central Commercial, L2 43 Peel Street (PO Box 3384) South Brisbane QLD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107070" name="Picture 2" descr="advocacy for people with disability. Phone number is 07 3844 4200, email address is qai@qai.org.au website is qai.org.au and address is South Central Commercial, L2 43 Peel Street (PO Box 3384) South Brisbane QLD 4101"/>
                  <pic:cNvPicPr/>
                </pic:nvPicPr>
                <pic:blipFill>
                  <a:blip r:embed="rId1"/>
                  <a:stretch>
                    <a:fillRect/>
                  </a:stretch>
                </pic:blipFill>
                <pic:spPr>
                  <a:xfrm>
                    <a:off x="0" y="0"/>
                    <a:ext cx="7560000" cy="903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9DCB42" w14:textId="77777777" w:rsidR="003E0DEF" w:rsidRPr="004F0C80" w:rsidRDefault="003E0DEF" w:rsidP="00781D4C">
      <w:r w:rsidRPr="004F0C80">
        <w:separator/>
      </w:r>
    </w:p>
  </w:footnote>
  <w:footnote w:type="continuationSeparator" w:id="0">
    <w:p w14:paraId="2845C3D5" w14:textId="77777777" w:rsidR="003E0DEF" w:rsidRPr="004F0C80" w:rsidRDefault="003E0DEF" w:rsidP="00781D4C">
      <w:r w:rsidRPr="004F0C80">
        <w:continuationSeparator/>
      </w:r>
    </w:p>
  </w:footnote>
  <w:footnote w:type="continuationNotice" w:id="1">
    <w:p w14:paraId="37CD7622" w14:textId="77777777" w:rsidR="003E0DEF" w:rsidRPr="004F0C80" w:rsidRDefault="003E0DEF">
      <w:pPr>
        <w:spacing w:line="240" w:lineRule="auto"/>
      </w:pPr>
    </w:p>
  </w:footnote>
  <w:footnote w:id="2">
    <w:p w14:paraId="3AAB6BE2" w14:textId="47BFE77A" w:rsidR="00831FBB" w:rsidRPr="00B1477C" w:rsidRDefault="00831FBB"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w:t>
      </w:r>
      <w:hyperlink r:id="rId1" w:history="1">
        <w:r w:rsidRPr="00B1477C">
          <w:rPr>
            <w:rStyle w:val="Hyperlink"/>
            <w:rFonts w:ascii="Source Sans Pro" w:hAnsi="Source Sans Pro"/>
          </w:rPr>
          <w:t>https://qidan.org.au/</w:t>
        </w:r>
      </w:hyperlink>
      <w:r w:rsidRPr="00B1477C">
        <w:rPr>
          <w:rFonts w:ascii="Source Sans Pro" w:hAnsi="Source Sans Pro"/>
        </w:rPr>
        <w:t xml:space="preserve"> </w:t>
      </w:r>
    </w:p>
  </w:footnote>
  <w:footnote w:id="3">
    <w:p w14:paraId="52B01A27" w14:textId="2C0E9EFB" w:rsidR="00E778B7" w:rsidRPr="00B1477C" w:rsidRDefault="00E778B7">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DRC (2022), </w:t>
      </w:r>
      <w:r w:rsidRPr="00B1477C">
        <w:rPr>
          <w:rFonts w:ascii="Source Sans Pro" w:hAnsi="Source Sans Pro"/>
          <w:i/>
          <w:iCs/>
        </w:rPr>
        <w:t>Statement of Matilda Alexander</w:t>
      </w:r>
      <w:r w:rsidRPr="00B1477C">
        <w:rPr>
          <w:rFonts w:ascii="Source Sans Pro" w:hAnsi="Source Sans Pro"/>
        </w:rPr>
        <w:t xml:space="preserve">: </w:t>
      </w:r>
      <w:hyperlink r:id="rId2" w:history="1">
        <w:r w:rsidRPr="00B1477C">
          <w:rPr>
            <w:rStyle w:val="Hyperlink"/>
            <w:rFonts w:ascii="Source Sans Pro" w:hAnsi="Source Sans Pro"/>
          </w:rPr>
          <w:t>https://disability.royalcommission.gov.au/system/files/exhibit/STAT.0681.0001.0001.pdf</w:t>
        </w:r>
      </w:hyperlink>
      <w:r w:rsidRPr="00B1477C">
        <w:rPr>
          <w:rFonts w:ascii="Source Sans Pro" w:hAnsi="Source Sans Pro"/>
        </w:rPr>
        <w:t xml:space="preserve"> </w:t>
      </w:r>
    </w:p>
  </w:footnote>
  <w:footnote w:id="4">
    <w:p w14:paraId="64D696E6" w14:textId="7D027445" w:rsidR="005313BF" w:rsidRPr="00B1477C" w:rsidRDefault="005313BF" w:rsidP="005313BF">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Queensland Human Rights Commission (2022), </w:t>
      </w:r>
      <w:r w:rsidRPr="00B1477C">
        <w:rPr>
          <w:rFonts w:ascii="Source Sans Pro" w:hAnsi="Source Sans Pro"/>
          <w:i/>
          <w:iCs/>
        </w:rPr>
        <w:t>Building belonging: Review of Queensland’s Anti-Discrimination Act 1991</w:t>
      </w:r>
      <w:r w:rsidRPr="00B1477C">
        <w:rPr>
          <w:rFonts w:ascii="Source Sans Pro" w:hAnsi="Source Sans Pro"/>
        </w:rPr>
        <w:t xml:space="preserve">: </w:t>
      </w:r>
      <w:hyperlink r:id="rId3" w:history="1">
        <w:r w:rsidRPr="00B1477C">
          <w:rPr>
            <w:rStyle w:val="Hyperlink"/>
            <w:rFonts w:ascii="Source Sans Pro" w:hAnsi="Source Sans Pro"/>
          </w:rPr>
          <w:t>https://www.qhrc.qld.gov.au/about-us/reviews/ada</w:t>
        </w:r>
      </w:hyperlink>
      <w:r w:rsidRPr="00B1477C">
        <w:rPr>
          <w:rFonts w:ascii="Source Sans Pro" w:hAnsi="Source Sans Pro"/>
        </w:rPr>
        <w:t xml:space="preserve"> </w:t>
      </w:r>
    </w:p>
  </w:footnote>
  <w:footnote w:id="5">
    <w:p w14:paraId="678534F4" w14:textId="77777777" w:rsidR="00CD49A5" w:rsidRPr="00B1477C" w:rsidRDefault="00CD49A5"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The Public Advocate, </w:t>
      </w:r>
      <w:r w:rsidRPr="00B1477C">
        <w:rPr>
          <w:rFonts w:ascii="Source Sans Pro" w:hAnsi="Source Sans Pro"/>
          <w:i/>
          <w:iCs/>
        </w:rPr>
        <w:t>Proceedings from a Roundtable on Litigation Guardianship</w:t>
      </w:r>
      <w:r w:rsidRPr="00B1477C">
        <w:rPr>
          <w:rFonts w:ascii="Source Sans Pro" w:hAnsi="Source Sans Pro"/>
        </w:rPr>
        <w:t xml:space="preserve"> (November, 2024) </w:t>
      </w:r>
      <w:hyperlink r:id="rId4" w:history="1">
        <w:r w:rsidRPr="00B1477C">
          <w:rPr>
            <w:rStyle w:val="Hyperlink"/>
            <w:rFonts w:ascii="Source Sans Pro" w:hAnsi="Source Sans Pro"/>
          </w:rPr>
          <w:t>https://www.justice.qld.gov.au/__data/assets/pdf_file/0008/820826/litigation-guardianship-issues-in-queensland-final.pdf</w:t>
        </w:r>
      </w:hyperlink>
      <w:r w:rsidRPr="00B1477C">
        <w:rPr>
          <w:rFonts w:ascii="Source Sans Pro" w:hAnsi="Source Sans Pro"/>
        </w:rPr>
        <w:t xml:space="preserve"> </w:t>
      </w:r>
    </w:p>
  </w:footnote>
  <w:footnote w:id="6">
    <w:p w14:paraId="0037535D" w14:textId="6496B12A" w:rsidR="004C7197" w:rsidRPr="00B1477C" w:rsidRDefault="004C7197"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w:t>
      </w:r>
      <w:r w:rsidR="00A356A4" w:rsidRPr="00B1477C">
        <w:rPr>
          <w:rFonts w:ascii="Source Sans Pro" w:hAnsi="Source Sans Pro"/>
        </w:rPr>
        <w:t xml:space="preserve">QCAT Representations </w:t>
      </w:r>
      <w:r w:rsidR="000B622C" w:rsidRPr="00B1477C">
        <w:rPr>
          <w:rFonts w:ascii="Source Sans Pro" w:hAnsi="Source Sans Pro"/>
        </w:rPr>
        <w:t xml:space="preserve">refer to cases where we acted as a legal representative for an adult at a QCAT hearing. </w:t>
      </w:r>
      <w:r w:rsidR="00217361" w:rsidRPr="00B1477C">
        <w:rPr>
          <w:rFonts w:ascii="Source Sans Pro" w:hAnsi="Source Sans Pro"/>
        </w:rPr>
        <w:t xml:space="preserve">Only a small number of </w:t>
      </w:r>
      <w:r w:rsidR="002F0918" w:rsidRPr="00B1477C">
        <w:rPr>
          <w:rFonts w:ascii="Source Sans Pro" w:hAnsi="Source Sans Pro"/>
        </w:rPr>
        <w:t>the legal representation we provided would be s 125 of the GGA. Most of the time we have sought leave to legally represent someone before QCAT.</w:t>
      </w:r>
    </w:p>
  </w:footnote>
  <w:footnote w:id="7">
    <w:p w14:paraId="15219C7F" w14:textId="0E2C7411" w:rsidR="000B622C" w:rsidRPr="00B1477C" w:rsidRDefault="000B622C"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Legal advice </w:t>
      </w:r>
      <w:r w:rsidR="00586CF3" w:rsidRPr="00B1477C">
        <w:rPr>
          <w:rFonts w:ascii="Source Sans Pro" w:hAnsi="Source Sans Pro"/>
        </w:rPr>
        <w:t xml:space="preserve">is a discrete service where </w:t>
      </w:r>
      <w:r w:rsidR="002A4ED6" w:rsidRPr="00B1477C">
        <w:rPr>
          <w:rFonts w:ascii="Source Sans Pro" w:hAnsi="Source Sans Pro"/>
        </w:rPr>
        <w:t xml:space="preserve">the client is advised on a </w:t>
      </w:r>
      <w:r w:rsidR="00586CF3" w:rsidRPr="00B1477C">
        <w:rPr>
          <w:rFonts w:ascii="Source Sans Pro" w:hAnsi="Source Sans Pro"/>
        </w:rPr>
        <w:t xml:space="preserve">matter, </w:t>
      </w:r>
      <w:r w:rsidR="00D95AC8" w:rsidRPr="00B1477C">
        <w:rPr>
          <w:rFonts w:ascii="Source Sans Pro" w:hAnsi="Source Sans Pro"/>
        </w:rPr>
        <w:t xml:space="preserve">but </w:t>
      </w:r>
      <w:r w:rsidR="00586CF3" w:rsidRPr="00B1477C">
        <w:rPr>
          <w:rFonts w:ascii="Source Sans Pro" w:hAnsi="Source Sans Pro"/>
        </w:rPr>
        <w:t>we do not act as their representative.</w:t>
      </w:r>
    </w:p>
  </w:footnote>
  <w:footnote w:id="8">
    <w:p w14:paraId="610BF628" w14:textId="7F3AE7BE" w:rsidR="00A213AE" w:rsidRPr="00B1477C" w:rsidRDefault="00A213AE"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These are matters that fall within the guardianship and administration </w:t>
      </w:r>
      <w:r w:rsidR="00DB4264" w:rsidRPr="00B1477C">
        <w:rPr>
          <w:rFonts w:ascii="Source Sans Pro" w:hAnsi="Source Sans Pro"/>
        </w:rPr>
        <w:t>scope</w:t>
      </w:r>
      <w:r w:rsidR="004E0FDB" w:rsidRPr="00B1477C">
        <w:rPr>
          <w:rFonts w:ascii="Source Sans Pro" w:hAnsi="Source Sans Pro"/>
        </w:rPr>
        <w:t xml:space="preserve"> but</w:t>
      </w:r>
      <w:r w:rsidRPr="00B1477C">
        <w:rPr>
          <w:rFonts w:ascii="Source Sans Pro" w:hAnsi="Source Sans Pro"/>
        </w:rPr>
        <w:t xml:space="preserve"> are not necessarily related to people seeking representation at QCAT. </w:t>
      </w:r>
      <w:r w:rsidR="002328FA" w:rsidRPr="00B1477C">
        <w:rPr>
          <w:rFonts w:ascii="Source Sans Pro" w:hAnsi="Source Sans Pro"/>
        </w:rPr>
        <w:t xml:space="preserve">For example, information </w:t>
      </w:r>
      <w:r w:rsidR="008C7D4B" w:rsidRPr="00B1477C">
        <w:rPr>
          <w:rFonts w:ascii="Source Sans Pro" w:hAnsi="Source Sans Pro"/>
        </w:rPr>
        <w:t xml:space="preserve">can be provided to someone who needs help finding publicly available information (like factsheets or guidelines). Referrals </w:t>
      </w:r>
      <w:r w:rsidR="00497BBC" w:rsidRPr="00B1477C">
        <w:rPr>
          <w:rFonts w:ascii="Source Sans Pro" w:hAnsi="Source Sans Pro"/>
        </w:rPr>
        <w:t xml:space="preserve">are provided in cases where QAI cannot assist due to capacity or because the matter is outside our scope, e.g. the </w:t>
      </w:r>
      <w:r w:rsidR="001C4959" w:rsidRPr="00B1477C">
        <w:rPr>
          <w:rFonts w:ascii="Source Sans Pro" w:hAnsi="Source Sans Pro"/>
        </w:rPr>
        <w:t>person seeking assistance is not a person with a disability.</w:t>
      </w:r>
    </w:p>
  </w:footnote>
  <w:footnote w:id="9">
    <w:p w14:paraId="7A698626" w14:textId="0C92AEFB" w:rsidR="00924F1B" w:rsidRPr="00B1477C" w:rsidRDefault="00924F1B"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Human Rights and Equal Opportunity Commission (December 1992), </w:t>
      </w:r>
      <w:r w:rsidRPr="00B1477C">
        <w:rPr>
          <w:rFonts w:ascii="Source Sans Pro" w:hAnsi="Source Sans Pro"/>
          <w:i/>
          <w:iCs/>
        </w:rPr>
        <w:t xml:space="preserve">Mental health legislation and Human Rights: An Analysis of Australian State and Territory Mental Health Legislation in terms of The United Nations Principles for the Protection of Persons with Mental Illness, </w:t>
      </w:r>
      <w:r w:rsidRPr="00B1477C">
        <w:rPr>
          <w:rFonts w:ascii="Source Sans Pro" w:hAnsi="Source Sans Pro"/>
        </w:rPr>
        <w:t xml:space="preserve">7.  </w:t>
      </w:r>
    </w:p>
  </w:footnote>
  <w:footnote w:id="10">
    <w:p w14:paraId="4B24192E" w14:textId="12C9FD35" w:rsidR="003F70F7" w:rsidRPr="00B1477C" w:rsidRDefault="003F70F7"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w:t>
      </w:r>
      <w:r w:rsidRPr="00B1477C">
        <w:rPr>
          <w:rFonts w:ascii="Source Sans Pro" w:hAnsi="Source Sans Pro"/>
          <w:i/>
          <w:iCs/>
        </w:rPr>
        <w:t xml:space="preserve">Guardianship and Administration Act 2000 </w:t>
      </w:r>
      <w:r w:rsidRPr="00B1477C">
        <w:rPr>
          <w:rFonts w:ascii="Source Sans Pro" w:hAnsi="Source Sans Pro"/>
        </w:rPr>
        <w:t xml:space="preserve">(Qld), s 11B.  </w:t>
      </w:r>
    </w:p>
  </w:footnote>
  <w:footnote w:id="11">
    <w:p w14:paraId="350A371D" w14:textId="21A8ECB4" w:rsidR="00E5281B" w:rsidRPr="00B1477C" w:rsidRDefault="00E5281B"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Australian Guardianship and Administration Council (June 2019), </w:t>
      </w:r>
      <w:r w:rsidRPr="00B1477C">
        <w:rPr>
          <w:rFonts w:ascii="Source Sans Pro" w:hAnsi="Source Sans Pro"/>
          <w:i/>
          <w:iCs/>
        </w:rPr>
        <w:t xml:space="preserve">Maximising the participation of the Person in guardianship proceedings: Guidelines for Australian Tribunals. </w:t>
      </w:r>
      <w:r w:rsidRPr="00B1477C">
        <w:rPr>
          <w:rFonts w:ascii="Source Sans Pro" w:hAnsi="Source Sans Pro"/>
        </w:rPr>
        <w:t xml:space="preserve"> </w:t>
      </w:r>
    </w:p>
  </w:footnote>
  <w:footnote w:id="12">
    <w:p w14:paraId="6B13B847" w14:textId="55D2333D" w:rsidR="00447782" w:rsidRPr="00B1477C" w:rsidRDefault="00447782"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Australian Guardianship and Administration Council (June 2019), </w:t>
      </w:r>
      <w:r w:rsidRPr="00B1477C">
        <w:rPr>
          <w:rFonts w:ascii="Source Sans Pro" w:hAnsi="Source Sans Pro"/>
          <w:i/>
          <w:iCs/>
        </w:rPr>
        <w:t>Maximising the participation of the Person in guardianship proceedings: Guidelines for Australian Tribunals</w:t>
      </w:r>
      <w:r w:rsidRPr="00B1477C">
        <w:rPr>
          <w:rFonts w:ascii="Source Sans Pro" w:hAnsi="Source Sans Pro"/>
        </w:rPr>
        <w:t xml:space="preserve">, Ann. 1, p 13, citing Elizabeth Richardson, Tania </w:t>
      </w:r>
      <w:proofErr w:type="spellStart"/>
      <w:r w:rsidRPr="00B1477C">
        <w:rPr>
          <w:rFonts w:ascii="Source Sans Pro" w:hAnsi="Source Sans Pro"/>
        </w:rPr>
        <w:t>Sourdin</w:t>
      </w:r>
      <w:proofErr w:type="spellEnd"/>
      <w:r w:rsidRPr="00B1477C">
        <w:rPr>
          <w:rFonts w:ascii="Source Sans Pro" w:hAnsi="Source Sans Pro"/>
        </w:rPr>
        <w:t xml:space="preserve"> and Nerida Wallace, Australian Centre for Justice Innovation, Self-Represented Litigants – Gathering Useful Information: Final Report (2012) 11.  </w:t>
      </w:r>
    </w:p>
  </w:footnote>
  <w:footnote w:id="13">
    <w:p w14:paraId="3710200E" w14:textId="2853D25B" w:rsidR="007504D5" w:rsidRPr="00B1477C" w:rsidRDefault="007504D5"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w:t>
      </w:r>
      <w:r w:rsidRPr="00B1477C">
        <w:rPr>
          <w:rFonts w:ascii="Source Sans Pro" w:hAnsi="Source Sans Pro"/>
          <w:i/>
          <w:iCs/>
        </w:rPr>
        <w:t xml:space="preserve">Mental Health Act 2016 </w:t>
      </w:r>
      <w:r w:rsidRPr="00B1477C">
        <w:rPr>
          <w:rFonts w:ascii="Source Sans Pro" w:hAnsi="Source Sans Pro"/>
        </w:rPr>
        <w:t xml:space="preserve">(Qld) ss 739(1), 740(6).  </w:t>
      </w:r>
    </w:p>
  </w:footnote>
  <w:footnote w:id="14">
    <w:p w14:paraId="60456C33" w14:textId="3B19673F" w:rsidR="00385E1A" w:rsidRPr="00B1477C" w:rsidRDefault="00385E1A"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Queensland Mental Health Commission, </w:t>
      </w:r>
      <w:r w:rsidRPr="00B1477C">
        <w:rPr>
          <w:rFonts w:ascii="Source Sans Pro" w:hAnsi="Source Sans Pro"/>
          <w:i/>
          <w:iCs/>
        </w:rPr>
        <w:t xml:space="preserve">Mental Health Legislation: Submission to the Health and Ambulance Services Committee of the Queensland Parliament </w:t>
      </w:r>
      <w:r w:rsidRPr="00B1477C">
        <w:rPr>
          <w:rFonts w:ascii="Source Sans Pro" w:hAnsi="Source Sans Pro"/>
        </w:rPr>
        <w:t xml:space="preserve">(October 2015), p 25.  </w:t>
      </w:r>
    </w:p>
  </w:footnote>
  <w:footnote w:id="15">
    <w:p w14:paraId="794231F4" w14:textId="60BFACEF" w:rsidR="00AF68D5" w:rsidRPr="00B1477C" w:rsidRDefault="00AF68D5"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Mental Health Review Tribunal,</w:t>
      </w:r>
      <w:r w:rsidR="00FC4C45" w:rsidRPr="00B1477C">
        <w:rPr>
          <w:rFonts w:ascii="Source Sans Pro" w:hAnsi="Source Sans Pro"/>
        </w:rPr>
        <w:t xml:space="preserve"> </w:t>
      </w:r>
      <w:r w:rsidR="00FC4C45" w:rsidRPr="00B1477C">
        <w:rPr>
          <w:rFonts w:ascii="Source Sans Pro" w:hAnsi="Source Sans Pro"/>
          <w:i/>
          <w:iCs/>
        </w:rPr>
        <w:t>Annual Report 2024-2025</w:t>
      </w:r>
      <w:r w:rsidR="00FC4C45" w:rsidRPr="00B1477C">
        <w:rPr>
          <w:rFonts w:ascii="Source Sans Pro" w:hAnsi="Source Sans Pro"/>
        </w:rPr>
        <w:t>,</w:t>
      </w:r>
      <w:r w:rsidRPr="00B1477C">
        <w:rPr>
          <w:rFonts w:ascii="Source Sans Pro" w:hAnsi="Source Sans Pro"/>
        </w:rPr>
        <w:t xml:space="preserve"> p 30.</w:t>
      </w:r>
    </w:p>
  </w:footnote>
  <w:footnote w:id="16">
    <w:p w14:paraId="3555396B" w14:textId="77777777" w:rsidR="00324E89" w:rsidRPr="00B1477C" w:rsidRDefault="00324E89"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Queensland Civil and Administrative Tribunal Act, Statutory Review 2025-26. Background Paper 3, p 6. </w:t>
      </w:r>
      <w:hyperlink r:id="rId5" w:history="1">
        <w:r w:rsidRPr="00B1477C">
          <w:rPr>
            <w:rStyle w:val="Hyperlink"/>
            <w:rFonts w:ascii="Source Sans Pro" w:hAnsi="Source Sans Pro"/>
          </w:rPr>
          <w:t>https://www.publications.qld.gov.au/ckan-publications-attachments-prod/resources/a047e052-94d5-4ef8-9ffb-65af28f44d5d/background-paper-3-types-of-jurisdiction.pdf?ETag=85d800983f7355d070614cd0d962f46d</w:t>
        </w:r>
      </w:hyperlink>
      <w:r w:rsidRPr="00B1477C">
        <w:rPr>
          <w:rFonts w:ascii="Source Sans Pro" w:hAnsi="Source Sans Pro"/>
        </w:rPr>
        <w:t xml:space="preserve"> </w:t>
      </w:r>
    </w:p>
  </w:footnote>
  <w:footnote w:id="17">
    <w:p w14:paraId="21889983" w14:textId="77777777" w:rsidR="00324E89" w:rsidRPr="00B1477C" w:rsidRDefault="00324E89"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QCAT Annual Report 2024-25, p 38.</w:t>
      </w:r>
    </w:p>
  </w:footnote>
  <w:footnote w:id="18">
    <w:p w14:paraId="7B4ACF07" w14:textId="679FA6F5" w:rsidR="00B37415" w:rsidRPr="00B1477C" w:rsidRDefault="00B37415"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Office Public Advocate (Qld) (April 2016), </w:t>
      </w:r>
      <w:r w:rsidRPr="00B1477C">
        <w:rPr>
          <w:rFonts w:ascii="Source Sans Pro" w:hAnsi="Source Sans Pro"/>
          <w:i/>
          <w:iCs/>
        </w:rPr>
        <w:t>Decision-making support and Queensland's guardianship system: A systemic advocacy report</w:t>
      </w:r>
      <w:r w:rsidRPr="00B1477C">
        <w:rPr>
          <w:rFonts w:ascii="Source Sans Pro" w:hAnsi="Source Sans Pro"/>
        </w:rPr>
        <w:t xml:space="preserve">, Recommendation 15.  </w:t>
      </w:r>
    </w:p>
  </w:footnote>
  <w:footnote w:id="19">
    <w:p w14:paraId="657C0EC8" w14:textId="45852760" w:rsidR="002157A3" w:rsidRPr="00B1477C" w:rsidRDefault="002157A3"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w:t>
      </w:r>
      <w:r w:rsidR="00FA673C" w:rsidRPr="00B1477C">
        <w:rPr>
          <w:rFonts w:ascii="Source Sans Pro" w:hAnsi="Source Sans Pro"/>
        </w:rPr>
        <w:t xml:space="preserve">Queensland Civil and </w:t>
      </w:r>
      <w:r w:rsidR="002A2F4F" w:rsidRPr="00B1477C">
        <w:rPr>
          <w:rFonts w:ascii="Source Sans Pro" w:hAnsi="Source Sans Pro"/>
        </w:rPr>
        <w:t>Administrative Tribunal Act Statutory Review 2025-26, Guardianship and administration Issues paper 4</w:t>
      </w:r>
      <w:r w:rsidR="00F11EC8" w:rsidRPr="00B1477C">
        <w:rPr>
          <w:rFonts w:ascii="Source Sans Pro" w:hAnsi="Source Sans Pro"/>
        </w:rPr>
        <w:t xml:space="preserve"> (</w:t>
      </w:r>
      <w:r w:rsidR="002A2F4F" w:rsidRPr="00B1477C">
        <w:rPr>
          <w:rFonts w:ascii="Source Sans Pro" w:hAnsi="Source Sans Pro"/>
        </w:rPr>
        <w:t>December 2025</w:t>
      </w:r>
      <w:r w:rsidR="00F11EC8" w:rsidRPr="00B1477C">
        <w:rPr>
          <w:rFonts w:ascii="Source Sans Pro" w:hAnsi="Source Sans Pro"/>
        </w:rPr>
        <w:t>), p</w:t>
      </w:r>
      <w:r w:rsidR="00160C3F" w:rsidRPr="00B1477C">
        <w:rPr>
          <w:rFonts w:ascii="Source Sans Pro" w:hAnsi="Source Sans Pro"/>
        </w:rPr>
        <w:t xml:space="preserve"> 42</w:t>
      </w:r>
      <w:r w:rsidR="00F11EC8" w:rsidRPr="00B1477C">
        <w:rPr>
          <w:rFonts w:ascii="Source Sans Pro" w:hAnsi="Source Sans Pro"/>
        </w:rPr>
        <w:t>.</w:t>
      </w:r>
    </w:p>
  </w:footnote>
  <w:footnote w:id="20">
    <w:p w14:paraId="0484798C" w14:textId="52E2165A" w:rsidR="00401F8B" w:rsidRPr="00B1477C" w:rsidRDefault="00401F8B"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w:t>
      </w:r>
      <w:r w:rsidR="00AD0BA9" w:rsidRPr="00B1477C">
        <w:rPr>
          <w:rFonts w:ascii="Source Sans Pro" w:hAnsi="Source Sans Pro"/>
        </w:rPr>
        <w:t>Ibid</w:t>
      </w:r>
      <w:r w:rsidR="00DA523A" w:rsidRPr="00B1477C">
        <w:rPr>
          <w:rFonts w:ascii="Source Sans Pro" w:hAnsi="Source Sans Pro"/>
        </w:rPr>
        <w:t>,</w:t>
      </w:r>
      <w:r w:rsidRPr="00B1477C">
        <w:rPr>
          <w:rFonts w:ascii="Source Sans Pro" w:hAnsi="Source Sans Pro"/>
        </w:rPr>
        <w:t xml:space="preserve"> p</w:t>
      </w:r>
      <w:r w:rsidR="00160C3F" w:rsidRPr="00B1477C">
        <w:rPr>
          <w:rFonts w:ascii="Source Sans Pro" w:hAnsi="Source Sans Pro"/>
        </w:rPr>
        <w:t xml:space="preserve"> </w:t>
      </w:r>
      <w:r w:rsidRPr="00B1477C">
        <w:rPr>
          <w:rFonts w:ascii="Source Sans Pro" w:hAnsi="Source Sans Pro"/>
        </w:rPr>
        <w:t>18.</w:t>
      </w:r>
    </w:p>
  </w:footnote>
  <w:footnote w:id="21">
    <w:p w14:paraId="7C540C59" w14:textId="7028798A" w:rsidR="006B4437" w:rsidRPr="00B1477C" w:rsidRDefault="00174562"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Queensland Advocacy for Inclusion (QAI)</w:t>
      </w:r>
      <w:r w:rsidR="006B4437" w:rsidRPr="00B1477C">
        <w:rPr>
          <w:rFonts w:ascii="Source Sans Pro" w:hAnsi="Source Sans Pro"/>
        </w:rPr>
        <w:t xml:space="preserve"> (2023), </w:t>
      </w:r>
      <w:r w:rsidRPr="00B1477C">
        <w:rPr>
          <w:rFonts w:ascii="Source Sans Pro" w:hAnsi="Source Sans Pro"/>
          <w:i/>
          <w:iCs/>
        </w:rPr>
        <w:t>Supported Decision-Making publication to the Office of the Public Advocate</w:t>
      </w:r>
      <w:r w:rsidR="006B4437" w:rsidRPr="00B1477C">
        <w:rPr>
          <w:rFonts w:ascii="Source Sans Pro" w:hAnsi="Source Sans Pro"/>
        </w:rPr>
        <w:t xml:space="preserve">: </w:t>
      </w:r>
      <w:hyperlink r:id="rId6" w:history="1">
        <w:r w:rsidR="006B4437" w:rsidRPr="00B1477C">
          <w:rPr>
            <w:rStyle w:val="Hyperlink"/>
            <w:rFonts w:ascii="Source Sans Pro" w:hAnsi="Source Sans Pro"/>
          </w:rPr>
          <w:t>https://qai.org.au/wp-content/uploads/2023/12/QAIs-submission-for-the-OPASupported-Decision-Making-publication-.pdf</w:t>
        </w:r>
      </w:hyperlink>
    </w:p>
  </w:footnote>
  <w:footnote w:id="22">
    <w:p w14:paraId="47E146BD" w14:textId="17A877DF" w:rsidR="000B6A90" w:rsidRPr="00B1477C" w:rsidRDefault="000B6A90">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Ibid.</w:t>
      </w:r>
    </w:p>
  </w:footnote>
  <w:footnote w:id="23">
    <w:p w14:paraId="00088585" w14:textId="00B655BC" w:rsidR="00845309" w:rsidRPr="00B1477C" w:rsidRDefault="00845309">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w:t>
      </w:r>
      <w:hyperlink r:id="rId7" w:history="1">
        <w:r w:rsidRPr="00B1477C">
          <w:rPr>
            <w:rStyle w:val="Hyperlink"/>
            <w:rFonts w:ascii="Source Sans Pro" w:hAnsi="Source Sans Pro"/>
          </w:rPr>
          <w:t>https://www.qcat.qld.gov.au/__data/assets/pdf_file/0017/101249/Practice-Direction-8-of-2010-Directions-relating-to-guardianship-matters.pdf</w:t>
        </w:r>
      </w:hyperlink>
    </w:p>
  </w:footnote>
  <w:footnote w:id="24">
    <w:p w14:paraId="544532F6" w14:textId="4223FBA6" w:rsidR="00AE1C23" w:rsidRPr="00B1477C" w:rsidRDefault="00AE1C23"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w:t>
      </w:r>
      <w:r w:rsidR="00003E18" w:rsidRPr="00B1477C">
        <w:rPr>
          <w:rFonts w:ascii="Source Sans Pro" w:hAnsi="Source Sans Pro"/>
        </w:rPr>
        <w:t>HRA</w:t>
      </w:r>
      <w:r w:rsidRPr="00B1477C">
        <w:rPr>
          <w:rFonts w:ascii="Source Sans Pro" w:hAnsi="Source Sans Pro"/>
        </w:rPr>
        <w:t xml:space="preserve">, s 31.  </w:t>
      </w:r>
    </w:p>
  </w:footnote>
  <w:footnote w:id="25">
    <w:p w14:paraId="6289B85E" w14:textId="66FE197B" w:rsidR="007335A9" w:rsidRPr="00B1477C" w:rsidRDefault="007335A9"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Queensland Civil and Administrative Tribunal Act Statutory Review 2025-26, Guardianship and administration Issues paper 4 (December 2025), </w:t>
      </w:r>
      <w:r w:rsidR="00965543" w:rsidRPr="00B1477C">
        <w:rPr>
          <w:rFonts w:ascii="Source Sans Pro" w:hAnsi="Source Sans Pro"/>
        </w:rPr>
        <w:t>Appendix B</w:t>
      </w:r>
      <w:r w:rsidRPr="00B1477C">
        <w:rPr>
          <w:rFonts w:ascii="Source Sans Pro" w:hAnsi="Source Sans Pro"/>
        </w:rPr>
        <w:t>.</w:t>
      </w:r>
    </w:p>
  </w:footnote>
  <w:footnote w:id="26">
    <w:p w14:paraId="4EA3F4A0" w14:textId="668F2ACC" w:rsidR="0059007A" w:rsidRPr="00B1477C" w:rsidRDefault="0059007A"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w:t>
      </w:r>
      <w:r w:rsidR="006E0ECC" w:rsidRPr="00B1477C">
        <w:rPr>
          <w:rFonts w:ascii="Source Sans Pro" w:hAnsi="Source Sans Pro"/>
        </w:rPr>
        <w:t>QCAT</w:t>
      </w:r>
      <w:r w:rsidR="00003E18" w:rsidRPr="00B1477C">
        <w:rPr>
          <w:rFonts w:ascii="Source Sans Pro" w:hAnsi="Source Sans Pro"/>
        </w:rPr>
        <w:t xml:space="preserve"> Act</w:t>
      </w:r>
      <w:r w:rsidR="006E0ECC" w:rsidRPr="00B1477C">
        <w:rPr>
          <w:rFonts w:ascii="Source Sans Pro" w:hAnsi="Source Sans Pro"/>
        </w:rPr>
        <w:t>,</w:t>
      </w:r>
      <w:r w:rsidRPr="00B1477C">
        <w:rPr>
          <w:rFonts w:ascii="Source Sans Pro" w:hAnsi="Source Sans Pro"/>
        </w:rPr>
        <w:t xml:space="preserve"> s 35(3).  </w:t>
      </w:r>
    </w:p>
  </w:footnote>
  <w:footnote w:id="27">
    <w:p w14:paraId="41ACCE1D" w14:textId="600F869F" w:rsidR="00B47E1A" w:rsidRPr="00B1477C" w:rsidRDefault="00B47E1A"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w:t>
      </w:r>
      <w:hyperlink r:id="rId8" w:history="1">
        <w:r w:rsidRPr="00B1477C">
          <w:rPr>
            <w:rStyle w:val="Hyperlink"/>
            <w:rFonts w:ascii="Source Sans Pro" w:hAnsi="Source Sans Pro"/>
          </w:rPr>
          <w:t>https://qai.org.au/wp-content/uploads/2023/06/Supported-Decision-Making-Guide-ADA-and-QAI.pdf</w:t>
        </w:r>
      </w:hyperlink>
      <w:r w:rsidRPr="00B1477C">
        <w:rPr>
          <w:rFonts w:ascii="Source Sans Pro" w:hAnsi="Source Sans Pro"/>
        </w:rPr>
        <w:t xml:space="preserve"> </w:t>
      </w:r>
    </w:p>
  </w:footnote>
  <w:footnote w:id="28">
    <w:p w14:paraId="008B0447" w14:textId="0B8EB32F" w:rsidR="006E0ECC" w:rsidRPr="00B1477C" w:rsidRDefault="006E0ECC"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GAA, s 11B, General Principle 4.  </w:t>
      </w:r>
    </w:p>
  </w:footnote>
  <w:footnote w:id="29">
    <w:p w14:paraId="5A4F84B0" w14:textId="46C897A3" w:rsidR="001E36DF" w:rsidRPr="00B1477C" w:rsidRDefault="001E36DF"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Disability Royal Commission, volume 6, p132.</w:t>
      </w:r>
    </w:p>
  </w:footnote>
  <w:footnote w:id="30">
    <w:p w14:paraId="640ADDC9" w14:textId="4D382C97" w:rsidR="002E58FB" w:rsidRPr="00B1477C" w:rsidRDefault="002E58FB"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w:t>
      </w:r>
      <w:r w:rsidR="00363F3F" w:rsidRPr="00B1477C">
        <w:rPr>
          <w:rFonts w:ascii="Source Sans Pro" w:hAnsi="Source Sans Pro"/>
        </w:rPr>
        <w:t xml:space="preserve">DRC </w:t>
      </w:r>
      <w:r w:rsidR="00985D78" w:rsidRPr="00B1477C">
        <w:rPr>
          <w:rFonts w:ascii="Source Sans Pro" w:hAnsi="Source Sans Pro"/>
        </w:rPr>
        <w:t xml:space="preserve">Recommendations 6.24 to </w:t>
      </w:r>
      <w:r w:rsidR="00034DF5" w:rsidRPr="00B1477C">
        <w:rPr>
          <w:rFonts w:ascii="Source Sans Pro" w:hAnsi="Source Sans Pro"/>
        </w:rPr>
        <w:t xml:space="preserve">6.34 </w:t>
      </w:r>
      <w:r w:rsidR="00485DED" w:rsidRPr="00B1477C">
        <w:rPr>
          <w:rFonts w:ascii="Source Sans Pro" w:hAnsi="Source Sans Pro"/>
        </w:rPr>
        <w:t>reflect the need for improv</w:t>
      </w:r>
      <w:r w:rsidR="00363F3F" w:rsidRPr="00B1477C">
        <w:rPr>
          <w:rFonts w:ascii="Source Sans Pro" w:hAnsi="Source Sans Pro"/>
        </w:rPr>
        <w:t>ement in health professionals’ knowledge, skills and attitudes to communicate effectively with people with disability.</w:t>
      </w:r>
    </w:p>
  </w:footnote>
  <w:footnote w:id="31">
    <w:p w14:paraId="44A0A218" w14:textId="5DE97845" w:rsidR="00F91A4D" w:rsidRPr="00B1477C" w:rsidRDefault="00C22A51"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Australian Human Rights Commission</w:t>
      </w:r>
      <w:r w:rsidR="003575CF" w:rsidRPr="00B1477C">
        <w:rPr>
          <w:rFonts w:ascii="Source Sans Pro" w:hAnsi="Source Sans Pro"/>
        </w:rPr>
        <w:t xml:space="preserve"> </w:t>
      </w:r>
      <w:r w:rsidRPr="00B1477C">
        <w:rPr>
          <w:rFonts w:ascii="Source Sans Pro" w:hAnsi="Source Sans Pro"/>
        </w:rPr>
        <w:t>(2022)</w:t>
      </w:r>
      <w:r w:rsidR="003575CF" w:rsidRPr="00B1477C">
        <w:rPr>
          <w:rFonts w:ascii="Source Sans Pro" w:hAnsi="Source Sans Pro"/>
        </w:rPr>
        <w:t xml:space="preserve">, </w:t>
      </w:r>
      <w:r w:rsidR="003575CF" w:rsidRPr="00B1477C">
        <w:rPr>
          <w:rFonts w:ascii="Source Sans Pro" w:hAnsi="Source Sans Pro"/>
          <w:i/>
          <w:iCs/>
        </w:rPr>
        <w:t>Guidelines on the Use of Confidentiality Clauses in the Resolution of Workplace Sexual Harassment Complaints</w:t>
      </w:r>
      <w:r w:rsidR="003575CF" w:rsidRPr="00B1477C">
        <w:rPr>
          <w:rFonts w:ascii="Source Sans Pro" w:hAnsi="Source Sans Pro"/>
        </w:rPr>
        <w:t>:</w:t>
      </w:r>
      <w:r w:rsidRPr="00B1477C">
        <w:rPr>
          <w:rFonts w:ascii="Source Sans Pro" w:hAnsi="Source Sans Pro"/>
        </w:rPr>
        <w:t xml:space="preserve"> </w:t>
      </w:r>
      <w:hyperlink r:id="rId9" w:history="1">
        <w:r w:rsidR="00F91A4D" w:rsidRPr="00B1477C">
          <w:rPr>
            <w:rStyle w:val="Hyperlink"/>
            <w:rFonts w:ascii="Source Sans Pro" w:hAnsi="Source Sans Pro"/>
          </w:rPr>
          <w:t>https://humanrights.gov.au/__data/assets/file/0023/47345/Guidelines-Use-of-Confidentiality-Clauses-Resolution-Workplace-Sexual-Harassment-Complaints.pdf</w:t>
        </w:r>
      </w:hyperlink>
    </w:p>
  </w:footnote>
  <w:footnote w:id="32">
    <w:p w14:paraId="31909512" w14:textId="5CBB59D2" w:rsidR="00155628" w:rsidRPr="00B1477C" w:rsidRDefault="00155628"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w:t>
      </w:r>
      <w:r w:rsidR="00A14EED" w:rsidRPr="00B1477C">
        <w:rPr>
          <w:rFonts w:ascii="Source Sans Pro" w:hAnsi="Source Sans Pro"/>
        </w:rPr>
        <w:t xml:space="preserve">Queensland Human Rights Commission (2022), </w:t>
      </w:r>
      <w:r w:rsidR="00A14EED" w:rsidRPr="00B1477C">
        <w:rPr>
          <w:rFonts w:ascii="Source Sans Pro" w:hAnsi="Source Sans Pro"/>
          <w:i/>
          <w:iCs/>
        </w:rPr>
        <w:t xml:space="preserve">Building belonging: Review of Queensland’s Anti-Discrimination Act 1991, </w:t>
      </w:r>
      <w:r w:rsidR="00A14EED" w:rsidRPr="00B1477C">
        <w:rPr>
          <w:rFonts w:ascii="Source Sans Pro" w:hAnsi="Source Sans Pro"/>
        </w:rPr>
        <w:t xml:space="preserve">p. 205-211: </w:t>
      </w:r>
      <w:hyperlink r:id="rId10" w:history="1">
        <w:r w:rsidR="00A14EED" w:rsidRPr="00B1477C">
          <w:rPr>
            <w:rStyle w:val="Hyperlink"/>
            <w:rFonts w:ascii="Source Sans Pro" w:hAnsi="Source Sans Pro"/>
          </w:rPr>
          <w:t>https://www.qhrc.qld.gov.au/about-us/reviews/ada</w:t>
        </w:r>
      </w:hyperlink>
      <w:r w:rsidRPr="00B1477C">
        <w:rPr>
          <w:rFonts w:ascii="Source Sans Pro" w:hAnsi="Source Sans Pro"/>
        </w:rPr>
        <w:t>.</w:t>
      </w:r>
    </w:p>
  </w:footnote>
  <w:footnote w:id="33">
    <w:p w14:paraId="299F40EF" w14:textId="70B4A218" w:rsidR="00A1239A" w:rsidRPr="00B1477C" w:rsidRDefault="00A1239A"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w:t>
      </w:r>
      <w:r w:rsidR="00A14EED" w:rsidRPr="00B1477C">
        <w:rPr>
          <w:rFonts w:ascii="Source Sans Pro" w:hAnsi="Source Sans Pro"/>
        </w:rPr>
        <w:t xml:space="preserve">Ibid, </w:t>
      </w:r>
      <w:r w:rsidRPr="00B1477C">
        <w:rPr>
          <w:rFonts w:ascii="Source Sans Pro" w:hAnsi="Source Sans Pro"/>
        </w:rPr>
        <w:t>recommendation</w:t>
      </w:r>
      <w:r w:rsidR="00512935" w:rsidRPr="00B1477C">
        <w:rPr>
          <w:rFonts w:ascii="Source Sans Pro" w:hAnsi="Source Sans Pro"/>
        </w:rPr>
        <w:t>s</w:t>
      </w:r>
      <w:r w:rsidRPr="00B1477C">
        <w:rPr>
          <w:rFonts w:ascii="Source Sans Pro" w:hAnsi="Source Sans Pro"/>
        </w:rPr>
        <w:t xml:space="preserve"> 14.2</w:t>
      </w:r>
      <w:r w:rsidR="00512935" w:rsidRPr="00B1477C">
        <w:rPr>
          <w:rFonts w:ascii="Source Sans Pro" w:hAnsi="Source Sans Pro"/>
        </w:rPr>
        <w:t>, 14.3 and 14.4</w:t>
      </w:r>
      <w:r w:rsidRPr="00B1477C">
        <w:rPr>
          <w:rFonts w:ascii="Source Sans Pro" w:hAnsi="Source Sans Pro"/>
        </w:rPr>
        <w:t>, p 211.</w:t>
      </w:r>
    </w:p>
  </w:footnote>
  <w:footnote w:id="34">
    <w:p w14:paraId="24FBD054" w14:textId="5881B759" w:rsidR="00B42D86" w:rsidRPr="00B1477C" w:rsidRDefault="00B42D86" w:rsidP="00174562">
      <w:pPr>
        <w:pStyle w:val="FootnoteText"/>
        <w:rPr>
          <w:rFonts w:ascii="Source Sans Pro" w:hAnsi="Source Sans Pro"/>
        </w:rPr>
      </w:pPr>
      <w:r w:rsidRPr="00B1477C">
        <w:rPr>
          <w:rStyle w:val="FootnoteReference"/>
          <w:rFonts w:ascii="Source Sans Pro" w:hAnsi="Source Sans Pro"/>
        </w:rPr>
        <w:footnoteRef/>
      </w:r>
      <w:r w:rsidRPr="00B1477C">
        <w:rPr>
          <w:rFonts w:ascii="Source Sans Pro" w:hAnsi="Source Sans Pro"/>
        </w:rPr>
        <w:t xml:space="preserve"> The Public Advocate, </w:t>
      </w:r>
      <w:r w:rsidRPr="00B1477C">
        <w:rPr>
          <w:rFonts w:ascii="Source Sans Pro" w:hAnsi="Source Sans Pro"/>
          <w:i/>
          <w:iCs/>
        </w:rPr>
        <w:t>Pr</w:t>
      </w:r>
      <w:r w:rsidR="00FB7776" w:rsidRPr="00B1477C">
        <w:rPr>
          <w:rFonts w:ascii="Source Sans Pro" w:hAnsi="Source Sans Pro"/>
          <w:i/>
          <w:iCs/>
        </w:rPr>
        <w:t>oceedings from a Roundtable on Litigation Guardianship</w:t>
      </w:r>
      <w:r w:rsidR="00FB7776" w:rsidRPr="00B1477C">
        <w:rPr>
          <w:rFonts w:ascii="Source Sans Pro" w:hAnsi="Source Sans Pro"/>
        </w:rPr>
        <w:t xml:space="preserve"> (November, 2024) </w:t>
      </w:r>
      <w:hyperlink r:id="rId11" w:history="1">
        <w:r w:rsidR="00FB7776" w:rsidRPr="00B1477C">
          <w:rPr>
            <w:rStyle w:val="Hyperlink"/>
            <w:rFonts w:ascii="Source Sans Pro" w:hAnsi="Source Sans Pro"/>
          </w:rPr>
          <w:t>https://www.justice.qld.gov.au/__data/assets/pdf_file/0008/820826/litigation-guardianship-issues-in-queensland-final.pdf</w:t>
        </w:r>
      </w:hyperlink>
      <w:r w:rsidRPr="00B1477C">
        <w:rPr>
          <w:rFonts w:ascii="Source Sans Pro" w:hAnsi="Source Sans Pro"/>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D7CF5" w14:textId="70C21C22" w:rsidR="00A319AC" w:rsidRPr="004F0C80" w:rsidRDefault="00676BE1" w:rsidP="00885CEB">
    <w:pPr>
      <w:pStyle w:val="Header"/>
      <w:tabs>
        <w:tab w:val="clear" w:pos="4320"/>
        <w:tab w:val="clear" w:pos="8640"/>
        <w:tab w:val="left" w:pos="2090"/>
      </w:tabs>
      <w:rPr>
        <w:rFonts w:ascii="Roboto Medium" w:hAnsi="Roboto Medium"/>
      </w:rPr>
    </w:pPr>
    <w:r w:rsidRPr="004F0C80">
      <w:rPr>
        <w:rFonts w:ascii="Roboto Medium" w:hAnsi="Roboto Medium"/>
        <w:noProof/>
        <w:color w:val="000000"/>
      </w:rPr>
      <w:drawing>
        <wp:anchor distT="0" distB="0" distL="114300" distR="114300" simplePos="0" relativeHeight="251658241" behindDoc="1" locked="0" layoutInCell="1" allowOverlap="1" wp14:anchorId="29D774D5" wp14:editId="1410E125">
          <wp:simplePos x="0" y="0"/>
          <wp:positionH relativeFrom="column">
            <wp:posOffset>-302260</wp:posOffset>
          </wp:positionH>
          <wp:positionV relativeFrom="paragraph">
            <wp:posOffset>-438888</wp:posOffset>
          </wp:positionV>
          <wp:extent cx="2343150" cy="2286300"/>
          <wp:effectExtent l="0" t="0" r="0" b="0"/>
          <wp:wrapNone/>
          <wp:docPr id="1192731267" name="Picture 2" descr="A white background with a pink logo that says qai Queensland Advocacy for I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901786" name="Picture 2" descr="A white background with a pink logo that says qai Queensland Advocacy for Inclusion"/>
                  <pic:cNvPicPr/>
                </pic:nvPicPr>
                <pic:blipFill>
                  <a:blip r:embed="rId1"/>
                  <a:stretch>
                    <a:fillRect/>
                  </a:stretch>
                </pic:blipFill>
                <pic:spPr>
                  <a:xfrm>
                    <a:off x="0" y="0"/>
                    <a:ext cx="2343150" cy="2286300"/>
                  </a:xfrm>
                  <a:prstGeom prst="rect">
                    <a:avLst/>
                  </a:prstGeom>
                </pic:spPr>
              </pic:pic>
            </a:graphicData>
          </a:graphic>
          <wp14:sizeRelH relativeFrom="page">
            <wp14:pctWidth>0</wp14:pctWidth>
          </wp14:sizeRelH>
          <wp14:sizeRelV relativeFrom="page">
            <wp14:pctHeight>0</wp14:pctHeight>
          </wp14:sizeRelV>
        </wp:anchor>
      </w:drawing>
    </w:r>
    <w:r w:rsidR="00A319AC" w:rsidRPr="004F0C80">
      <w:rPr>
        <w:rFonts w:ascii="Roboto Medium" w:hAnsi="Roboto Medium"/>
        <w:color w:val="000000"/>
      </w:rPr>
      <w:t>Submission</w:t>
    </w:r>
    <w:r w:rsidR="00A319AC" w:rsidRPr="004F0C80">
      <w:rPr>
        <w:rFonts w:ascii="Roboto Medium" w:hAnsi="Roboto Medium"/>
      </w:rPr>
      <w:t xml:space="preserve"> by</w:t>
    </w:r>
    <w:r w:rsidR="00885CEB" w:rsidRPr="004F0C80">
      <w:rPr>
        <w:rFonts w:ascii="Roboto Medium" w:hAnsi="Roboto Medium"/>
      </w:rPr>
      <w:tab/>
    </w:r>
  </w:p>
  <w:p w14:paraId="655FD4A4" w14:textId="2CAB803C" w:rsidR="00A319AC" w:rsidRPr="004F0C80" w:rsidRDefault="00A319AC" w:rsidP="00A319AC">
    <w:pPr>
      <w:pStyle w:val="Header"/>
      <w:tabs>
        <w:tab w:val="clear" w:pos="4320"/>
        <w:tab w:val="clear" w:pos="8640"/>
        <w:tab w:val="left" w:pos="193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3F4D6D"/>
    <w:multiLevelType w:val="hybridMultilevel"/>
    <w:tmpl w:val="53AEA64A"/>
    <w:lvl w:ilvl="0" w:tplc="0C090001">
      <w:start w:val="1"/>
      <w:numFmt w:val="bullet"/>
      <w:lvlText w:val=""/>
      <w:lvlJc w:val="left"/>
      <w:pPr>
        <w:ind w:left="770" w:hanging="360"/>
      </w:pPr>
      <w:rPr>
        <w:rFonts w:ascii="Symbol" w:hAnsi="Symbol" w:hint="default"/>
      </w:rPr>
    </w:lvl>
    <w:lvl w:ilvl="1" w:tplc="FFFFFFFF">
      <w:start w:val="1"/>
      <w:numFmt w:val="bullet"/>
      <w:lvlText w:val="o"/>
      <w:lvlJc w:val="left"/>
      <w:pPr>
        <w:ind w:left="1490" w:hanging="360"/>
      </w:pPr>
      <w:rPr>
        <w:rFonts w:ascii="Courier New" w:hAnsi="Courier New" w:cs="Courier New" w:hint="default"/>
      </w:rPr>
    </w:lvl>
    <w:lvl w:ilvl="2" w:tplc="FFFFFFFF" w:tentative="1">
      <w:start w:val="1"/>
      <w:numFmt w:val="bullet"/>
      <w:lvlText w:val=""/>
      <w:lvlJc w:val="left"/>
      <w:pPr>
        <w:ind w:left="2210" w:hanging="360"/>
      </w:pPr>
      <w:rPr>
        <w:rFonts w:ascii="Wingdings" w:hAnsi="Wingdings" w:hint="default"/>
      </w:rPr>
    </w:lvl>
    <w:lvl w:ilvl="3" w:tplc="FFFFFFFF" w:tentative="1">
      <w:start w:val="1"/>
      <w:numFmt w:val="bullet"/>
      <w:lvlText w:val=""/>
      <w:lvlJc w:val="left"/>
      <w:pPr>
        <w:ind w:left="2930" w:hanging="360"/>
      </w:pPr>
      <w:rPr>
        <w:rFonts w:ascii="Symbol" w:hAnsi="Symbol" w:hint="default"/>
      </w:rPr>
    </w:lvl>
    <w:lvl w:ilvl="4" w:tplc="FFFFFFFF" w:tentative="1">
      <w:start w:val="1"/>
      <w:numFmt w:val="bullet"/>
      <w:lvlText w:val="o"/>
      <w:lvlJc w:val="left"/>
      <w:pPr>
        <w:ind w:left="3650" w:hanging="360"/>
      </w:pPr>
      <w:rPr>
        <w:rFonts w:ascii="Courier New" w:hAnsi="Courier New" w:cs="Courier New" w:hint="default"/>
      </w:rPr>
    </w:lvl>
    <w:lvl w:ilvl="5" w:tplc="FFFFFFFF" w:tentative="1">
      <w:start w:val="1"/>
      <w:numFmt w:val="bullet"/>
      <w:lvlText w:val=""/>
      <w:lvlJc w:val="left"/>
      <w:pPr>
        <w:ind w:left="4370" w:hanging="360"/>
      </w:pPr>
      <w:rPr>
        <w:rFonts w:ascii="Wingdings" w:hAnsi="Wingdings" w:hint="default"/>
      </w:rPr>
    </w:lvl>
    <w:lvl w:ilvl="6" w:tplc="FFFFFFFF" w:tentative="1">
      <w:start w:val="1"/>
      <w:numFmt w:val="bullet"/>
      <w:lvlText w:val=""/>
      <w:lvlJc w:val="left"/>
      <w:pPr>
        <w:ind w:left="5090" w:hanging="360"/>
      </w:pPr>
      <w:rPr>
        <w:rFonts w:ascii="Symbol" w:hAnsi="Symbol" w:hint="default"/>
      </w:rPr>
    </w:lvl>
    <w:lvl w:ilvl="7" w:tplc="FFFFFFFF" w:tentative="1">
      <w:start w:val="1"/>
      <w:numFmt w:val="bullet"/>
      <w:lvlText w:val="o"/>
      <w:lvlJc w:val="left"/>
      <w:pPr>
        <w:ind w:left="5810" w:hanging="360"/>
      </w:pPr>
      <w:rPr>
        <w:rFonts w:ascii="Courier New" w:hAnsi="Courier New" w:cs="Courier New" w:hint="default"/>
      </w:rPr>
    </w:lvl>
    <w:lvl w:ilvl="8" w:tplc="FFFFFFFF" w:tentative="1">
      <w:start w:val="1"/>
      <w:numFmt w:val="bullet"/>
      <w:lvlText w:val=""/>
      <w:lvlJc w:val="left"/>
      <w:pPr>
        <w:ind w:left="6530" w:hanging="360"/>
      </w:pPr>
      <w:rPr>
        <w:rFonts w:ascii="Wingdings" w:hAnsi="Wingdings" w:hint="default"/>
      </w:rPr>
    </w:lvl>
  </w:abstractNum>
  <w:abstractNum w:abstractNumId="1" w15:restartNumberingAfterBreak="0">
    <w:nsid w:val="23256D9D"/>
    <w:multiLevelType w:val="hybridMultilevel"/>
    <w:tmpl w:val="9D74D446"/>
    <w:lvl w:ilvl="0" w:tplc="FED86ECC">
      <w:start w:val="1"/>
      <w:numFmt w:val="decimal"/>
      <w:pStyle w:val="ListParagraph"/>
      <w:lvlText w:val="%1."/>
      <w:lvlJc w:val="left"/>
      <w:pPr>
        <w:ind w:left="770" w:hanging="360"/>
      </w:pPr>
      <w:rPr>
        <w:rFonts w:hint="default"/>
      </w:rPr>
    </w:lvl>
    <w:lvl w:ilvl="1" w:tplc="FFFFFFFF">
      <w:start w:val="1"/>
      <w:numFmt w:val="bullet"/>
      <w:lvlText w:val="o"/>
      <w:lvlJc w:val="left"/>
      <w:pPr>
        <w:ind w:left="1490" w:hanging="360"/>
      </w:pPr>
      <w:rPr>
        <w:rFonts w:ascii="Courier New" w:hAnsi="Courier New" w:cs="Courier New" w:hint="default"/>
      </w:rPr>
    </w:lvl>
    <w:lvl w:ilvl="2" w:tplc="FFFFFFFF" w:tentative="1">
      <w:start w:val="1"/>
      <w:numFmt w:val="bullet"/>
      <w:lvlText w:val=""/>
      <w:lvlJc w:val="left"/>
      <w:pPr>
        <w:ind w:left="2210" w:hanging="360"/>
      </w:pPr>
      <w:rPr>
        <w:rFonts w:ascii="Wingdings" w:hAnsi="Wingdings" w:hint="default"/>
      </w:rPr>
    </w:lvl>
    <w:lvl w:ilvl="3" w:tplc="FFFFFFFF" w:tentative="1">
      <w:start w:val="1"/>
      <w:numFmt w:val="bullet"/>
      <w:lvlText w:val=""/>
      <w:lvlJc w:val="left"/>
      <w:pPr>
        <w:ind w:left="2930" w:hanging="360"/>
      </w:pPr>
      <w:rPr>
        <w:rFonts w:ascii="Symbol" w:hAnsi="Symbol" w:hint="default"/>
      </w:rPr>
    </w:lvl>
    <w:lvl w:ilvl="4" w:tplc="FFFFFFFF" w:tentative="1">
      <w:start w:val="1"/>
      <w:numFmt w:val="bullet"/>
      <w:lvlText w:val="o"/>
      <w:lvlJc w:val="left"/>
      <w:pPr>
        <w:ind w:left="3650" w:hanging="360"/>
      </w:pPr>
      <w:rPr>
        <w:rFonts w:ascii="Courier New" w:hAnsi="Courier New" w:cs="Courier New" w:hint="default"/>
      </w:rPr>
    </w:lvl>
    <w:lvl w:ilvl="5" w:tplc="FFFFFFFF" w:tentative="1">
      <w:start w:val="1"/>
      <w:numFmt w:val="bullet"/>
      <w:lvlText w:val=""/>
      <w:lvlJc w:val="left"/>
      <w:pPr>
        <w:ind w:left="4370" w:hanging="360"/>
      </w:pPr>
      <w:rPr>
        <w:rFonts w:ascii="Wingdings" w:hAnsi="Wingdings" w:hint="default"/>
      </w:rPr>
    </w:lvl>
    <w:lvl w:ilvl="6" w:tplc="FFFFFFFF" w:tentative="1">
      <w:start w:val="1"/>
      <w:numFmt w:val="bullet"/>
      <w:lvlText w:val=""/>
      <w:lvlJc w:val="left"/>
      <w:pPr>
        <w:ind w:left="5090" w:hanging="360"/>
      </w:pPr>
      <w:rPr>
        <w:rFonts w:ascii="Symbol" w:hAnsi="Symbol" w:hint="default"/>
      </w:rPr>
    </w:lvl>
    <w:lvl w:ilvl="7" w:tplc="FFFFFFFF" w:tentative="1">
      <w:start w:val="1"/>
      <w:numFmt w:val="bullet"/>
      <w:lvlText w:val="o"/>
      <w:lvlJc w:val="left"/>
      <w:pPr>
        <w:ind w:left="5810" w:hanging="360"/>
      </w:pPr>
      <w:rPr>
        <w:rFonts w:ascii="Courier New" w:hAnsi="Courier New" w:cs="Courier New" w:hint="default"/>
      </w:rPr>
    </w:lvl>
    <w:lvl w:ilvl="8" w:tplc="FFFFFFFF" w:tentative="1">
      <w:start w:val="1"/>
      <w:numFmt w:val="bullet"/>
      <w:lvlText w:val=""/>
      <w:lvlJc w:val="left"/>
      <w:pPr>
        <w:ind w:left="6530" w:hanging="360"/>
      </w:pPr>
      <w:rPr>
        <w:rFonts w:ascii="Wingdings" w:hAnsi="Wingdings" w:hint="default"/>
      </w:rPr>
    </w:lvl>
  </w:abstractNum>
  <w:abstractNum w:abstractNumId="2" w15:restartNumberingAfterBreak="0">
    <w:nsid w:val="32564B0C"/>
    <w:multiLevelType w:val="hybridMultilevel"/>
    <w:tmpl w:val="FF864CCA"/>
    <w:lvl w:ilvl="0" w:tplc="0C090001">
      <w:start w:val="1"/>
      <w:numFmt w:val="bullet"/>
      <w:lvlText w:val=""/>
      <w:lvlJc w:val="left"/>
      <w:pPr>
        <w:ind w:left="770" w:hanging="360"/>
      </w:pPr>
      <w:rPr>
        <w:rFonts w:ascii="Symbol" w:hAnsi="Symbol" w:hint="default"/>
      </w:rPr>
    </w:lvl>
    <w:lvl w:ilvl="1" w:tplc="FFFFFFFF">
      <w:start w:val="1"/>
      <w:numFmt w:val="bullet"/>
      <w:lvlText w:val="o"/>
      <w:lvlJc w:val="left"/>
      <w:pPr>
        <w:ind w:left="1490" w:hanging="360"/>
      </w:pPr>
      <w:rPr>
        <w:rFonts w:ascii="Courier New" w:hAnsi="Courier New" w:cs="Courier New" w:hint="default"/>
      </w:rPr>
    </w:lvl>
    <w:lvl w:ilvl="2" w:tplc="FFFFFFFF" w:tentative="1">
      <w:start w:val="1"/>
      <w:numFmt w:val="bullet"/>
      <w:lvlText w:val=""/>
      <w:lvlJc w:val="left"/>
      <w:pPr>
        <w:ind w:left="2210" w:hanging="360"/>
      </w:pPr>
      <w:rPr>
        <w:rFonts w:ascii="Wingdings" w:hAnsi="Wingdings" w:hint="default"/>
      </w:rPr>
    </w:lvl>
    <w:lvl w:ilvl="3" w:tplc="FFFFFFFF" w:tentative="1">
      <w:start w:val="1"/>
      <w:numFmt w:val="bullet"/>
      <w:lvlText w:val=""/>
      <w:lvlJc w:val="left"/>
      <w:pPr>
        <w:ind w:left="2930" w:hanging="360"/>
      </w:pPr>
      <w:rPr>
        <w:rFonts w:ascii="Symbol" w:hAnsi="Symbol" w:hint="default"/>
      </w:rPr>
    </w:lvl>
    <w:lvl w:ilvl="4" w:tplc="FFFFFFFF" w:tentative="1">
      <w:start w:val="1"/>
      <w:numFmt w:val="bullet"/>
      <w:lvlText w:val="o"/>
      <w:lvlJc w:val="left"/>
      <w:pPr>
        <w:ind w:left="3650" w:hanging="360"/>
      </w:pPr>
      <w:rPr>
        <w:rFonts w:ascii="Courier New" w:hAnsi="Courier New" w:cs="Courier New" w:hint="default"/>
      </w:rPr>
    </w:lvl>
    <w:lvl w:ilvl="5" w:tplc="FFFFFFFF" w:tentative="1">
      <w:start w:val="1"/>
      <w:numFmt w:val="bullet"/>
      <w:lvlText w:val=""/>
      <w:lvlJc w:val="left"/>
      <w:pPr>
        <w:ind w:left="4370" w:hanging="360"/>
      </w:pPr>
      <w:rPr>
        <w:rFonts w:ascii="Wingdings" w:hAnsi="Wingdings" w:hint="default"/>
      </w:rPr>
    </w:lvl>
    <w:lvl w:ilvl="6" w:tplc="FFFFFFFF" w:tentative="1">
      <w:start w:val="1"/>
      <w:numFmt w:val="bullet"/>
      <w:lvlText w:val=""/>
      <w:lvlJc w:val="left"/>
      <w:pPr>
        <w:ind w:left="5090" w:hanging="360"/>
      </w:pPr>
      <w:rPr>
        <w:rFonts w:ascii="Symbol" w:hAnsi="Symbol" w:hint="default"/>
      </w:rPr>
    </w:lvl>
    <w:lvl w:ilvl="7" w:tplc="FFFFFFFF" w:tentative="1">
      <w:start w:val="1"/>
      <w:numFmt w:val="bullet"/>
      <w:lvlText w:val="o"/>
      <w:lvlJc w:val="left"/>
      <w:pPr>
        <w:ind w:left="5810" w:hanging="360"/>
      </w:pPr>
      <w:rPr>
        <w:rFonts w:ascii="Courier New" w:hAnsi="Courier New" w:cs="Courier New" w:hint="default"/>
      </w:rPr>
    </w:lvl>
    <w:lvl w:ilvl="8" w:tplc="FFFFFFFF" w:tentative="1">
      <w:start w:val="1"/>
      <w:numFmt w:val="bullet"/>
      <w:lvlText w:val=""/>
      <w:lvlJc w:val="left"/>
      <w:pPr>
        <w:ind w:left="6530" w:hanging="360"/>
      </w:pPr>
      <w:rPr>
        <w:rFonts w:ascii="Wingdings" w:hAnsi="Wingdings" w:hint="default"/>
      </w:rPr>
    </w:lvl>
  </w:abstractNum>
  <w:abstractNum w:abstractNumId="3" w15:restartNumberingAfterBreak="0">
    <w:nsid w:val="4F2328D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6EF165C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79BC67FC"/>
    <w:multiLevelType w:val="hybridMultilevel"/>
    <w:tmpl w:val="0BBEEC1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6" w15:restartNumberingAfterBreak="0">
    <w:nsid w:val="7EC46FF5"/>
    <w:multiLevelType w:val="hybridMultilevel"/>
    <w:tmpl w:val="96DE2B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19853261">
    <w:abstractNumId w:val="3"/>
  </w:num>
  <w:num w:numId="2" w16cid:durableId="64298895">
    <w:abstractNumId w:val="5"/>
  </w:num>
  <w:num w:numId="3" w16cid:durableId="2073503245">
    <w:abstractNumId w:val="6"/>
  </w:num>
  <w:num w:numId="4" w16cid:durableId="2112311040">
    <w:abstractNumId w:val="1"/>
  </w:num>
  <w:num w:numId="5" w16cid:durableId="1218593822">
    <w:abstractNumId w:val="2"/>
  </w:num>
  <w:num w:numId="6" w16cid:durableId="837117611">
    <w:abstractNumId w:val="4"/>
  </w:num>
  <w:num w:numId="7" w16cid:durableId="2078283253">
    <w:abstractNumId w:val="1"/>
  </w:num>
  <w:num w:numId="8" w16cid:durableId="480268830">
    <w:abstractNumId w:val="1"/>
  </w:num>
  <w:num w:numId="9" w16cid:durableId="1629163084">
    <w:abstractNumId w:val="1"/>
  </w:num>
  <w:num w:numId="10" w16cid:durableId="2105688717">
    <w:abstractNumId w:val="1"/>
  </w:num>
  <w:num w:numId="11" w16cid:durableId="556479389">
    <w:abstractNumId w:val="1"/>
  </w:num>
  <w:num w:numId="12" w16cid:durableId="873927053">
    <w:abstractNumId w:val="1"/>
  </w:num>
  <w:num w:numId="13" w16cid:durableId="582643472">
    <w:abstractNumId w:val="1"/>
  </w:num>
  <w:num w:numId="14" w16cid:durableId="1021475447">
    <w:abstractNumId w:val="1"/>
  </w:num>
  <w:num w:numId="15" w16cid:durableId="604073331">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D4C"/>
    <w:rsid w:val="00001031"/>
    <w:rsid w:val="00001307"/>
    <w:rsid w:val="00001454"/>
    <w:rsid w:val="00001A80"/>
    <w:rsid w:val="00001B14"/>
    <w:rsid w:val="00001ECA"/>
    <w:rsid w:val="000025A6"/>
    <w:rsid w:val="00002ABD"/>
    <w:rsid w:val="00003B76"/>
    <w:rsid w:val="00003E18"/>
    <w:rsid w:val="00003E2C"/>
    <w:rsid w:val="000075A4"/>
    <w:rsid w:val="00007A44"/>
    <w:rsid w:val="000100A3"/>
    <w:rsid w:val="00010900"/>
    <w:rsid w:val="00010B0D"/>
    <w:rsid w:val="000110E7"/>
    <w:rsid w:val="00011411"/>
    <w:rsid w:val="00012B0A"/>
    <w:rsid w:val="00012B40"/>
    <w:rsid w:val="00012B60"/>
    <w:rsid w:val="00012E95"/>
    <w:rsid w:val="00013A78"/>
    <w:rsid w:val="0001445D"/>
    <w:rsid w:val="00016256"/>
    <w:rsid w:val="00016367"/>
    <w:rsid w:val="000164FB"/>
    <w:rsid w:val="00016D36"/>
    <w:rsid w:val="00017EC6"/>
    <w:rsid w:val="00022250"/>
    <w:rsid w:val="00022D22"/>
    <w:rsid w:val="000235BC"/>
    <w:rsid w:val="000237B2"/>
    <w:rsid w:val="00024035"/>
    <w:rsid w:val="00024773"/>
    <w:rsid w:val="0002515A"/>
    <w:rsid w:val="00025242"/>
    <w:rsid w:val="00025DBF"/>
    <w:rsid w:val="00026B41"/>
    <w:rsid w:val="00027273"/>
    <w:rsid w:val="00027457"/>
    <w:rsid w:val="00027D0D"/>
    <w:rsid w:val="00031251"/>
    <w:rsid w:val="00031D01"/>
    <w:rsid w:val="00033FED"/>
    <w:rsid w:val="000348E5"/>
    <w:rsid w:val="00034DF5"/>
    <w:rsid w:val="0003581E"/>
    <w:rsid w:val="000403F9"/>
    <w:rsid w:val="00040AF0"/>
    <w:rsid w:val="00041049"/>
    <w:rsid w:val="00041379"/>
    <w:rsid w:val="00041477"/>
    <w:rsid w:val="000418BD"/>
    <w:rsid w:val="0004254A"/>
    <w:rsid w:val="00042EF1"/>
    <w:rsid w:val="000446FB"/>
    <w:rsid w:val="00044A12"/>
    <w:rsid w:val="00045B21"/>
    <w:rsid w:val="000465C5"/>
    <w:rsid w:val="00046802"/>
    <w:rsid w:val="00047379"/>
    <w:rsid w:val="000475EA"/>
    <w:rsid w:val="00047A7B"/>
    <w:rsid w:val="000501C4"/>
    <w:rsid w:val="00050BA1"/>
    <w:rsid w:val="000510B2"/>
    <w:rsid w:val="000535C6"/>
    <w:rsid w:val="000555B5"/>
    <w:rsid w:val="000560A1"/>
    <w:rsid w:val="00056D4C"/>
    <w:rsid w:val="000573CC"/>
    <w:rsid w:val="00057641"/>
    <w:rsid w:val="00057D5F"/>
    <w:rsid w:val="00057F24"/>
    <w:rsid w:val="00062E9D"/>
    <w:rsid w:val="00064976"/>
    <w:rsid w:val="00065187"/>
    <w:rsid w:val="00065346"/>
    <w:rsid w:val="000655A9"/>
    <w:rsid w:val="00065767"/>
    <w:rsid w:val="00065B94"/>
    <w:rsid w:val="000700D8"/>
    <w:rsid w:val="00070F70"/>
    <w:rsid w:val="00073818"/>
    <w:rsid w:val="00074351"/>
    <w:rsid w:val="0007470E"/>
    <w:rsid w:val="0007512B"/>
    <w:rsid w:val="00076088"/>
    <w:rsid w:val="00076FA3"/>
    <w:rsid w:val="000779A6"/>
    <w:rsid w:val="00080BCA"/>
    <w:rsid w:val="00081278"/>
    <w:rsid w:val="00081500"/>
    <w:rsid w:val="00082CF3"/>
    <w:rsid w:val="000830E7"/>
    <w:rsid w:val="00085C32"/>
    <w:rsid w:val="000861F8"/>
    <w:rsid w:val="000901D7"/>
    <w:rsid w:val="0009047E"/>
    <w:rsid w:val="00090645"/>
    <w:rsid w:val="00092744"/>
    <w:rsid w:val="00092CF1"/>
    <w:rsid w:val="00092D83"/>
    <w:rsid w:val="00092F02"/>
    <w:rsid w:val="00093F94"/>
    <w:rsid w:val="000941F0"/>
    <w:rsid w:val="000942E3"/>
    <w:rsid w:val="000952C4"/>
    <w:rsid w:val="000956B4"/>
    <w:rsid w:val="000959F0"/>
    <w:rsid w:val="00096D30"/>
    <w:rsid w:val="00097257"/>
    <w:rsid w:val="00097D99"/>
    <w:rsid w:val="000A091A"/>
    <w:rsid w:val="000A0AFF"/>
    <w:rsid w:val="000A0F00"/>
    <w:rsid w:val="000A1773"/>
    <w:rsid w:val="000A1FB1"/>
    <w:rsid w:val="000A2193"/>
    <w:rsid w:val="000A3A8A"/>
    <w:rsid w:val="000A3B3A"/>
    <w:rsid w:val="000A44EA"/>
    <w:rsid w:val="000A45C9"/>
    <w:rsid w:val="000A4F4A"/>
    <w:rsid w:val="000A51E0"/>
    <w:rsid w:val="000A6112"/>
    <w:rsid w:val="000A6315"/>
    <w:rsid w:val="000A74C1"/>
    <w:rsid w:val="000A787E"/>
    <w:rsid w:val="000B0B2E"/>
    <w:rsid w:val="000B145C"/>
    <w:rsid w:val="000B15D2"/>
    <w:rsid w:val="000B1C1B"/>
    <w:rsid w:val="000B201D"/>
    <w:rsid w:val="000B2554"/>
    <w:rsid w:val="000B2EC5"/>
    <w:rsid w:val="000B3CC4"/>
    <w:rsid w:val="000B4472"/>
    <w:rsid w:val="000B5261"/>
    <w:rsid w:val="000B53F4"/>
    <w:rsid w:val="000B5BED"/>
    <w:rsid w:val="000B5F02"/>
    <w:rsid w:val="000B622C"/>
    <w:rsid w:val="000B6A90"/>
    <w:rsid w:val="000B6F21"/>
    <w:rsid w:val="000B7630"/>
    <w:rsid w:val="000C1417"/>
    <w:rsid w:val="000C2B87"/>
    <w:rsid w:val="000C39A1"/>
    <w:rsid w:val="000C3BDB"/>
    <w:rsid w:val="000C3DB0"/>
    <w:rsid w:val="000C3E4C"/>
    <w:rsid w:val="000C4BBA"/>
    <w:rsid w:val="000C4C53"/>
    <w:rsid w:val="000C5896"/>
    <w:rsid w:val="000C70CF"/>
    <w:rsid w:val="000C7127"/>
    <w:rsid w:val="000D0958"/>
    <w:rsid w:val="000D1DC1"/>
    <w:rsid w:val="000D28EA"/>
    <w:rsid w:val="000D2C26"/>
    <w:rsid w:val="000D2EE4"/>
    <w:rsid w:val="000D3606"/>
    <w:rsid w:val="000D3B20"/>
    <w:rsid w:val="000D4682"/>
    <w:rsid w:val="000D5C8F"/>
    <w:rsid w:val="000E0900"/>
    <w:rsid w:val="000E0F6B"/>
    <w:rsid w:val="000E1E7D"/>
    <w:rsid w:val="000E3866"/>
    <w:rsid w:val="000E3875"/>
    <w:rsid w:val="000E4468"/>
    <w:rsid w:val="000E4BCC"/>
    <w:rsid w:val="000E5F65"/>
    <w:rsid w:val="000E6505"/>
    <w:rsid w:val="000E6614"/>
    <w:rsid w:val="000E781F"/>
    <w:rsid w:val="000F119B"/>
    <w:rsid w:val="000F12EA"/>
    <w:rsid w:val="000F27D4"/>
    <w:rsid w:val="000F332A"/>
    <w:rsid w:val="000F343E"/>
    <w:rsid w:val="000F48F4"/>
    <w:rsid w:val="000F6C44"/>
    <w:rsid w:val="000F6D5C"/>
    <w:rsid w:val="000F6E20"/>
    <w:rsid w:val="000F6F35"/>
    <w:rsid w:val="000F7546"/>
    <w:rsid w:val="001009DE"/>
    <w:rsid w:val="001017F4"/>
    <w:rsid w:val="0010232C"/>
    <w:rsid w:val="0010281C"/>
    <w:rsid w:val="00102FCD"/>
    <w:rsid w:val="00103067"/>
    <w:rsid w:val="001038FB"/>
    <w:rsid w:val="001063D1"/>
    <w:rsid w:val="00106451"/>
    <w:rsid w:val="00106A3A"/>
    <w:rsid w:val="00106ACB"/>
    <w:rsid w:val="0010740B"/>
    <w:rsid w:val="0010752A"/>
    <w:rsid w:val="00107B60"/>
    <w:rsid w:val="0011020D"/>
    <w:rsid w:val="00110B18"/>
    <w:rsid w:val="001114E7"/>
    <w:rsid w:val="001118B3"/>
    <w:rsid w:val="00111B55"/>
    <w:rsid w:val="00111FB5"/>
    <w:rsid w:val="00112006"/>
    <w:rsid w:val="001123D4"/>
    <w:rsid w:val="001128E2"/>
    <w:rsid w:val="00113777"/>
    <w:rsid w:val="00114AA8"/>
    <w:rsid w:val="00114B6D"/>
    <w:rsid w:val="00114F47"/>
    <w:rsid w:val="0011515C"/>
    <w:rsid w:val="001154F4"/>
    <w:rsid w:val="00115758"/>
    <w:rsid w:val="00115A8F"/>
    <w:rsid w:val="00115C19"/>
    <w:rsid w:val="0011691E"/>
    <w:rsid w:val="00117F45"/>
    <w:rsid w:val="001214DA"/>
    <w:rsid w:val="00121A6E"/>
    <w:rsid w:val="0012336D"/>
    <w:rsid w:val="0012381D"/>
    <w:rsid w:val="00123B55"/>
    <w:rsid w:val="00125324"/>
    <w:rsid w:val="001266B8"/>
    <w:rsid w:val="00126844"/>
    <w:rsid w:val="001268D3"/>
    <w:rsid w:val="00127714"/>
    <w:rsid w:val="001278B3"/>
    <w:rsid w:val="00131224"/>
    <w:rsid w:val="00131553"/>
    <w:rsid w:val="001317BE"/>
    <w:rsid w:val="001318D8"/>
    <w:rsid w:val="0013355E"/>
    <w:rsid w:val="00134357"/>
    <w:rsid w:val="001358D6"/>
    <w:rsid w:val="001367F6"/>
    <w:rsid w:val="001378B6"/>
    <w:rsid w:val="00141418"/>
    <w:rsid w:val="0014308C"/>
    <w:rsid w:val="001434D2"/>
    <w:rsid w:val="00144B5B"/>
    <w:rsid w:val="001459D3"/>
    <w:rsid w:val="00150228"/>
    <w:rsid w:val="00151489"/>
    <w:rsid w:val="0015167B"/>
    <w:rsid w:val="00151FA3"/>
    <w:rsid w:val="001528C3"/>
    <w:rsid w:val="00154520"/>
    <w:rsid w:val="0015482E"/>
    <w:rsid w:val="00155628"/>
    <w:rsid w:val="00156705"/>
    <w:rsid w:val="00157716"/>
    <w:rsid w:val="00157D4A"/>
    <w:rsid w:val="00160780"/>
    <w:rsid w:val="00160C3F"/>
    <w:rsid w:val="00161793"/>
    <w:rsid w:val="001632BB"/>
    <w:rsid w:val="00164488"/>
    <w:rsid w:val="00165E0C"/>
    <w:rsid w:val="001666DC"/>
    <w:rsid w:val="001667AA"/>
    <w:rsid w:val="00166823"/>
    <w:rsid w:val="00166B68"/>
    <w:rsid w:val="00166D09"/>
    <w:rsid w:val="00167A90"/>
    <w:rsid w:val="00167FD0"/>
    <w:rsid w:val="001701F9"/>
    <w:rsid w:val="00170392"/>
    <w:rsid w:val="0017078D"/>
    <w:rsid w:val="00170B83"/>
    <w:rsid w:val="00172953"/>
    <w:rsid w:val="00173253"/>
    <w:rsid w:val="001736CA"/>
    <w:rsid w:val="00173800"/>
    <w:rsid w:val="001738C2"/>
    <w:rsid w:val="00173B2D"/>
    <w:rsid w:val="00173FC0"/>
    <w:rsid w:val="0017425C"/>
    <w:rsid w:val="00174562"/>
    <w:rsid w:val="00174C61"/>
    <w:rsid w:val="00175170"/>
    <w:rsid w:val="00176433"/>
    <w:rsid w:val="00176DD4"/>
    <w:rsid w:val="00177A3C"/>
    <w:rsid w:val="00177ACC"/>
    <w:rsid w:val="00177DD5"/>
    <w:rsid w:val="0018044F"/>
    <w:rsid w:val="0018127D"/>
    <w:rsid w:val="00182B8A"/>
    <w:rsid w:val="00183A84"/>
    <w:rsid w:val="00183E59"/>
    <w:rsid w:val="00184A21"/>
    <w:rsid w:val="00185397"/>
    <w:rsid w:val="00185B9B"/>
    <w:rsid w:val="00185DC4"/>
    <w:rsid w:val="0018625A"/>
    <w:rsid w:val="0018641E"/>
    <w:rsid w:val="0018673A"/>
    <w:rsid w:val="0018678A"/>
    <w:rsid w:val="00186D20"/>
    <w:rsid w:val="0018796A"/>
    <w:rsid w:val="00190CE7"/>
    <w:rsid w:val="00191164"/>
    <w:rsid w:val="0019117D"/>
    <w:rsid w:val="001913A9"/>
    <w:rsid w:val="0019252A"/>
    <w:rsid w:val="00192A48"/>
    <w:rsid w:val="001936FD"/>
    <w:rsid w:val="001954CE"/>
    <w:rsid w:val="00195BFD"/>
    <w:rsid w:val="001965E1"/>
    <w:rsid w:val="00196C03"/>
    <w:rsid w:val="00196D62"/>
    <w:rsid w:val="001975C1"/>
    <w:rsid w:val="00197D2B"/>
    <w:rsid w:val="001A03AA"/>
    <w:rsid w:val="001A0E54"/>
    <w:rsid w:val="001A31D4"/>
    <w:rsid w:val="001A3F51"/>
    <w:rsid w:val="001A465F"/>
    <w:rsid w:val="001A4795"/>
    <w:rsid w:val="001A532B"/>
    <w:rsid w:val="001A5559"/>
    <w:rsid w:val="001A5970"/>
    <w:rsid w:val="001A6760"/>
    <w:rsid w:val="001A7CFA"/>
    <w:rsid w:val="001B08C0"/>
    <w:rsid w:val="001B0A23"/>
    <w:rsid w:val="001B1838"/>
    <w:rsid w:val="001B1DE1"/>
    <w:rsid w:val="001B1FED"/>
    <w:rsid w:val="001B337B"/>
    <w:rsid w:val="001B3523"/>
    <w:rsid w:val="001B5684"/>
    <w:rsid w:val="001B56A3"/>
    <w:rsid w:val="001B6191"/>
    <w:rsid w:val="001B6CD2"/>
    <w:rsid w:val="001B76A2"/>
    <w:rsid w:val="001C0F58"/>
    <w:rsid w:val="001C2207"/>
    <w:rsid w:val="001C4959"/>
    <w:rsid w:val="001C509F"/>
    <w:rsid w:val="001C51E5"/>
    <w:rsid w:val="001C5F53"/>
    <w:rsid w:val="001C681C"/>
    <w:rsid w:val="001C706C"/>
    <w:rsid w:val="001D0225"/>
    <w:rsid w:val="001D1A7C"/>
    <w:rsid w:val="001D32AF"/>
    <w:rsid w:val="001D5243"/>
    <w:rsid w:val="001D548B"/>
    <w:rsid w:val="001D766B"/>
    <w:rsid w:val="001D7907"/>
    <w:rsid w:val="001D7A60"/>
    <w:rsid w:val="001E0343"/>
    <w:rsid w:val="001E0C95"/>
    <w:rsid w:val="001E10AC"/>
    <w:rsid w:val="001E142F"/>
    <w:rsid w:val="001E16E9"/>
    <w:rsid w:val="001E1E8C"/>
    <w:rsid w:val="001E2531"/>
    <w:rsid w:val="001E2C05"/>
    <w:rsid w:val="001E2EB5"/>
    <w:rsid w:val="001E36DF"/>
    <w:rsid w:val="001E3E0B"/>
    <w:rsid w:val="001E3E20"/>
    <w:rsid w:val="001E3F71"/>
    <w:rsid w:val="001E4581"/>
    <w:rsid w:val="001E4677"/>
    <w:rsid w:val="001E570D"/>
    <w:rsid w:val="001E6A4A"/>
    <w:rsid w:val="001E7042"/>
    <w:rsid w:val="001E76DF"/>
    <w:rsid w:val="001F0490"/>
    <w:rsid w:val="001F0664"/>
    <w:rsid w:val="001F1BC3"/>
    <w:rsid w:val="001F2F34"/>
    <w:rsid w:val="001F3B4D"/>
    <w:rsid w:val="001F443C"/>
    <w:rsid w:val="001F45A8"/>
    <w:rsid w:val="001F49DB"/>
    <w:rsid w:val="001F508A"/>
    <w:rsid w:val="001F52F2"/>
    <w:rsid w:val="001F6316"/>
    <w:rsid w:val="001F6497"/>
    <w:rsid w:val="0020050E"/>
    <w:rsid w:val="00200E87"/>
    <w:rsid w:val="00202170"/>
    <w:rsid w:val="002024BB"/>
    <w:rsid w:val="002038A4"/>
    <w:rsid w:val="002051C6"/>
    <w:rsid w:val="0020593A"/>
    <w:rsid w:val="0020595D"/>
    <w:rsid w:val="00205BED"/>
    <w:rsid w:val="00206373"/>
    <w:rsid w:val="00206445"/>
    <w:rsid w:val="002064EB"/>
    <w:rsid w:val="002069B3"/>
    <w:rsid w:val="00206CF9"/>
    <w:rsid w:val="00206F76"/>
    <w:rsid w:val="002074FF"/>
    <w:rsid w:val="00207921"/>
    <w:rsid w:val="00210C3A"/>
    <w:rsid w:val="002129FC"/>
    <w:rsid w:val="00212D07"/>
    <w:rsid w:val="00214E1A"/>
    <w:rsid w:val="002157A3"/>
    <w:rsid w:val="00215961"/>
    <w:rsid w:val="00215CA3"/>
    <w:rsid w:val="00216EA5"/>
    <w:rsid w:val="00217361"/>
    <w:rsid w:val="00217B22"/>
    <w:rsid w:val="00221B79"/>
    <w:rsid w:val="00222E9E"/>
    <w:rsid w:val="002235E7"/>
    <w:rsid w:val="00224154"/>
    <w:rsid w:val="002264C5"/>
    <w:rsid w:val="0022678D"/>
    <w:rsid w:val="00227775"/>
    <w:rsid w:val="00231B88"/>
    <w:rsid w:val="002328FA"/>
    <w:rsid w:val="00233260"/>
    <w:rsid w:val="00236413"/>
    <w:rsid w:val="00237011"/>
    <w:rsid w:val="002375B3"/>
    <w:rsid w:val="00240C3E"/>
    <w:rsid w:val="00241F85"/>
    <w:rsid w:val="00243170"/>
    <w:rsid w:val="00243383"/>
    <w:rsid w:val="00243429"/>
    <w:rsid w:val="00243753"/>
    <w:rsid w:val="00243E7B"/>
    <w:rsid w:val="002442F0"/>
    <w:rsid w:val="00245868"/>
    <w:rsid w:val="0024617D"/>
    <w:rsid w:val="00247CFA"/>
    <w:rsid w:val="00250292"/>
    <w:rsid w:val="0025225A"/>
    <w:rsid w:val="002540BD"/>
    <w:rsid w:val="002555DD"/>
    <w:rsid w:val="00255DF8"/>
    <w:rsid w:val="00256A61"/>
    <w:rsid w:val="00257CC5"/>
    <w:rsid w:val="0026022A"/>
    <w:rsid w:val="002636CB"/>
    <w:rsid w:val="00265084"/>
    <w:rsid w:val="00265D1C"/>
    <w:rsid w:val="00265DF2"/>
    <w:rsid w:val="0026690E"/>
    <w:rsid w:val="00267069"/>
    <w:rsid w:val="00267FA5"/>
    <w:rsid w:val="00271B6D"/>
    <w:rsid w:val="00272F8D"/>
    <w:rsid w:val="00275E92"/>
    <w:rsid w:val="002764BF"/>
    <w:rsid w:val="00276655"/>
    <w:rsid w:val="00276859"/>
    <w:rsid w:val="00277504"/>
    <w:rsid w:val="00277D18"/>
    <w:rsid w:val="00277D78"/>
    <w:rsid w:val="00277F29"/>
    <w:rsid w:val="0028061F"/>
    <w:rsid w:val="00281948"/>
    <w:rsid w:val="00283221"/>
    <w:rsid w:val="00283362"/>
    <w:rsid w:val="00283B1D"/>
    <w:rsid w:val="00284968"/>
    <w:rsid w:val="00284DA9"/>
    <w:rsid w:val="0028686C"/>
    <w:rsid w:val="002870D1"/>
    <w:rsid w:val="00287F4E"/>
    <w:rsid w:val="0029006F"/>
    <w:rsid w:val="00290279"/>
    <w:rsid w:val="0029099D"/>
    <w:rsid w:val="002912D1"/>
    <w:rsid w:val="00291861"/>
    <w:rsid w:val="002919BE"/>
    <w:rsid w:val="002937CC"/>
    <w:rsid w:val="00293A16"/>
    <w:rsid w:val="00293C3A"/>
    <w:rsid w:val="00294B0C"/>
    <w:rsid w:val="002951E1"/>
    <w:rsid w:val="002965E9"/>
    <w:rsid w:val="00297183"/>
    <w:rsid w:val="0029785B"/>
    <w:rsid w:val="002A0A07"/>
    <w:rsid w:val="002A0D63"/>
    <w:rsid w:val="002A1D69"/>
    <w:rsid w:val="002A1F8C"/>
    <w:rsid w:val="002A2710"/>
    <w:rsid w:val="002A2F4F"/>
    <w:rsid w:val="002A36BA"/>
    <w:rsid w:val="002A4ED6"/>
    <w:rsid w:val="002A5180"/>
    <w:rsid w:val="002A61C4"/>
    <w:rsid w:val="002A674E"/>
    <w:rsid w:val="002A6D68"/>
    <w:rsid w:val="002A7589"/>
    <w:rsid w:val="002B1C90"/>
    <w:rsid w:val="002B1ED8"/>
    <w:rsid w:val="002B1F80"/>
    <w:rsid w:val="002B2CBC"/>
    <w:rsid w:val="002B2E9D"/>
    <w:rsid w:val="002B4A17"/>
    <w:rsid w:val="002B4D12"/>
    <w:rsid w:val="002B4D55"/>
    <w:rsid w:val="002B56A7"/>
    <w:rsid w:val="002B56E7"/>
    <w:rsid w:val="002B5AAE"/>
    <w:rsid w:val="002B625C"/>
    <w:rsid w:val="002C0B17"/>
    <w:rsid w:val="002C1856"/>
    <w:rsid w:val="002C1BD8"/>
    <w:rsid w:val="002C1C03"/>
    <w:rsid w:val="002C30DA"/>
    <w:rsid w:val="002C3194"/>
    <w:rsid w:val="002C38C4"/>
    <w:rsid w:val="002C3C8C"/>
    <w:rsid w:val="002C42D7"/>
    <w:rsid w:val="002C54A0"/>
    <w:rsid w:val="002C5509"/>
    <w:rsid w:val="002C551A"/>
    <w:rsid w:val="002C5C21"/>
    <w:rsid w:val="002C5D16"/>
    <w:rsid w:val="002C5DD6"/>
    <w:rsid w:val="002C7880"/>
    <w:rsid w:val="002D005E"/>
    <w:rsid w:val="002D0091"/>
    <w:rsid w:val="002D0BAA"/>
    <w:rsid w:val="002D1488"/>
    <w:rsid w:val="002D2554"/>
    <w:rsid w:val="002D2B4B"/>
    <w:rsid w:val="002D35CA"/>
    <w:rsid w:val="002D68A9"/>
    <w:rsid w:val="002D7E4E"/>
    <w:rsid w:val="002E004D"/>
    <w:rsid w:val="002E016C"/>
    <w:rsid w:val="002E22D2"/>
    <w:rsid w:val="002E2A01"/>
    <w:rsid w:val="002E2CDB"/>
    <w:rsid w:val="002E3238"/>
    <w:rsid w:val="002E3CFA"/>
    <w:rsid w:val="002E454C"/>
    <w:rsid w:val="002E45F0"/>
    <w:rsid w:val="002E478A"/>
    <w:rsid w:val="002E58FB"/>
    <w:rsid w:val="002E5D85"/>
    <w:rsid w:val="002E6EF4"/>
    <w:rsid w:val="002E7025"/>
    <w:rsid w:val="002F0119"/>
    <w:rsid w:val="002F06A2"/>
    <w:rsid w:val="002F0918"/>
    <w:rsid w:val="002F1E2E"/>
    <w:rsid w:val="002F2CF1"/>
    <w:rsid w:val="002F2E53"/>
    <w:rsid w:val="002F39A2"/>
    <w:rsid w:val="002F44CC"/>
    <w:rsid w:val="002F4588"/>
    <w:rsid w:val="002F5584"/>
    <w:rsid w:val="002F5EDF"/>
    <w:rsid w:val="002F7575"/>
    <w:rsid w:val="00302558"/>
    <w:rsid w:val="00302DF6"/>
    <w:rsid w:val="00302EE1"/>
    <w:rsid w:val="003031B1"/>
    <w:rsid w:val="00303713"/>
    <w:rsid w:val="0030439B"/>
    <w:rsid w:val="00304DFE"/>
    <w:rsid w:val="003066B8"/>
    <w:rsid w:val="00306765"/>
    <w:rsid w:val="00307AF4"/>
    <w:rsid w:val="00307D9E"/>
    <w:rsid w:val="00310015"/>
    <w:rsid w:val="00310BC8"/>
    <w:rsid w:val="00310F4F"/>
    <w:rsid w:val="00311419"/>
    <w:rsid w:val="00312708"/>
    <w:rsid w:val="00312CFF"/>
    <w:rsid w:val="003136BF"/>
    <w:rsid w:val="003137D9"/>
    <w:rsid w:val="0031450C"/>
    <w:rsid w:val="00315949"/>
    <w:rsid w:val="0031763A"/>
    <w:rsid w:val="00320DA1"/>
    <w:rsid w:val="00321794"/>
    <w:rsid w:val="003222E2"/>
    <w:rsid w:val="003225A7"/>
    <w:rsid w:val="0032322D"/>
    <w:rsid w:val="00323554"/>
    <w:rsid w:val="00323B32"/>
    <w:rsid w:val="00324482"/>
    <w:rsid w:val="0032450D"/>
    <w:rsid w:val="00324E89"/>
    <w:rsid w:val="003250C9"/>
    <w:rsid w:val="0032511C"/>
    <w:rsid w:val="00326156"/>
    <w:rsid w:val="0032746B"/>
    <w:rsid w:val="0033108B"/>
    <w:rsid w:val="00331262"/>
    <w:rsid w:val="003313FA"/>
    <w:rsid w:val="003319F0"/>
    <w:rsid w:val="00332946"/>
    <w:rsid w:val="003336A2"/>
    <w:rsid w:val="003349A0"/>
    <w:rsid w:val="00334FF9"/>
    <w:rsid w:val="00335D8D"/>
    <w:rsid w:val="0033617C"/>
    <w:rsid w:val="00336B58"/>
    <w:rsid w:val="00337726"/>
    <w:rsid w:val="0034149E"/>
    <w:rsid w:val="003419F6"/>
    <w:rsid w:val="0034204E"/>
    <w:rsid w:val="003427D4"/>
    <w:rsid w:val="00342A21"/>
    <w:rsid w:val="00342EE3"/>
    <w:rsid w:val="0034365D"/>
    <w:rsid w:val="003439B3"/>
    <w:rsid w:val="00343A7C"/>
    <w:rsid w:val="00343EEF"/>
    <w:rsid w:val="00344066"/>
    <w:rsid w:val="00344846"/>
    <w:rsid w:val="003460E2"/>
    <w:rsid w:val="00346438"/>
    <w:rsid w:val="00347D00"/>
    <w:rsid w:val="00347D28"/>
    <w:rsid w:val="00347D36"/>
    <w:rsid w:val="00347F04"/>
    <w:rsid w:val="00351640"/>
    <w:rsid w:val="00351772"/>
    <w:rsid w:val="00351CFE"/>
    <w:rsid w:val="00352293"/>
    <w:rsid w:val="00354653"/>
    <w:rsid w:val="00354C87"/>
    <w:rsid w:val="00355789"/>
    <w:rsid w:val="003561C8"/>
    <w:rsid w:val="00356393"/>
    <w:rsid w:val="003563EA"/>
    <w:rsid w:val="003575CF"/>
    <w:rsid w:val="00357C67"/>
    <w:rsid w:val="003607E4"/>
    <w:rsid w:val="00360A79"/>
    <w:rsid w:val="00361EAA"/>
    <w:rsid w:val="00361EAD"/>
    <w:rsid w:val="00362E8D"/>
    <w:rsid w:val="00363B38"/>
    <w:rsid w:val="00363F3F"/>
    <w:rsid w:val="0036426F"/>
    <w:rsid w:val="003644DE"/>
    <w:rsid w:val="003652AF"/>
    <w:rsid w:val="00366627"/>
    <w:rsid w:val="00366796"/>
    <w:rsid w:val="00366D22"/>
    <w:rsid w:val="00366E5F"/>
    <w:rsid w:val="0036766D"/>
    <w:rsid w:val="003715FC"/>
    <w:rsid w:val="00371DE0"/>
    <w:rsid w:val="00371FE8"/>
    <w:rsid w:val="003729A6"/>
    <w:rsid w:val="00372EB7"/>
    <w:rsid w:val="0037308C"/>
    <w:rsid w:val="00373579"/>
    <w:rsid w:val="00373CBD"/>
    <w:rsid w:val="003744A3"/>
    <w:rsid w:val="003749F2"/>
    <w:rsid w:val="003763D4"/>
    <w:rsid w:val="00376DF3"/>
    <w:rsid w:val="0038168A"/>
    <w:rsid w:val="00381EB6"/>
    <w:rsid w:val="00382C25"/>
    <w:rsid w:val="00383D35"/>
    <w:rsid w:val="00384244"/>
    <w:rsid w:val="00384E86"/>
    <w:rsid w:val="00385E1A"/>
    <w:rsid w:val="00385E64"/>
    <w:rsid w:val="00386643"/>
    <w:rsid w:val="00387A55"/>
    <w:rsid w:val="00387C8D"/>
    <w:rsid w:val="00392138"/>
    <w:rsid w:val="003924A7"/>
    <w:rsid w:val="00392917"/>
    <w:rsid w:val="0039464C"/>
    <w:rsid w:val="00394C33"/>
    <w:rsid w:val="00394CDA"/>
    <w:rsid w:val="0039524E"/>
    <w:rsid w:val="00395B28"/>
    <w:rsid w:val="00396B7E"/>
    <w:rsid w:val="00396F96"/>
    <w:rsid w:val="003974E1"/>
    <w:rsid w:val="0039777E"/>
    <w:rsid w:val="003A052B"/>
    <w:rsid w:val="003A0FF8"/>
    <w:rsid w:val="003A1E09"/>
    <w:rsid w:val="003A314A"/>
    <w:rsid w:val="003A4C62"/>
    <w:rsid w:val="003A6523"/>
    <w:rsid w:val="003A6941"/>
    <w:rsid w:val="003A709F"/>
    <w:rsid w:val="003A7E50"/>
    <w:rsid w:val="003B11D5"/>
    <w:rsid w:val="003B238A"/>
    <w:rsid w:val="003B29A4"/>
    <w:rsid w:val="003B4AAA"/>
    <w:rsid w:val="003B50A5"/>
    <w:rsid w:val="003B51A8"/>
    <w:rsid w:val="003B5509"/>
    <w:rsid w:val="003B566B"/>
    <w:rsid w:val="003B5838"/>
    <w:rsid w:val="003B5911"/>
    <w:rsid w:val="003B5B85"/>
    <w:rsid w:val="003B66E7"/>
    <w:rsid w:val="003B7F95"/>
    <w:rsid w:val="003C07AF"/>
    <w:rsid w:val="003C1479"/>
    <w:rsid w:val="003C1708"/>
    <w:rsid w:val="003C36CC"/>
    <w:rsid w:val="003C37A0"/>
    <w:rsid w:val="003C3C00"/>
    <w:rsid w:val="003C5AC1"/>
    <w:rsid w:val="003C6B28"/>
    <w:rsid w:val="003C6BE0"/>
    <w:rsid w:val="003D0E0E"/>
    <w:rsid w:val="003D20C1"/>
    <w:rsid w:val="003D2131"/>
    <w:rsid w:val="003D2927"/>
    <w:rsid w:val="003D30A2"/>
    <w:rsid w:val="003D326A"/>
    <w:rsid w:val="003D4FD6"/>
    <w:rsid w:val="003D521F"/>
    <w:rsid w:val="003D5CEB"/>
    <w:rsid w:val="003D646D"/>
    <w:rsid w:val="003D7188"/>
    <w:rsid w:val="003D71DE"/>
    <w:rsid w:val="003E00C4"/>
    <w:rsid w:val="003E0AD9"/>
    <w:rsid w:val="003E0BE7"/>
    <w:rsid w:val="003E0DEF"/>
    <w:rsid w:val="003E12BC"/>
    <w:rsid w:val="003E2666"/>
    <w:rsid w:val="003E3BA3"/>
    <w:rsid w:val="003E543B"/>
    <w:rsid w:val="003E545A"/>
    <w:rsid w:val="003E6C8C"/>
    <w:rsid w:val="003E7D3A"/>
    <w:rsid w:val="003F0479"/>
    <w:rsid w:val="003F105C"/>
    <w:rsid w:val="003F11D4"/>
    <w:rsid w:val="003F28E3"/>
    <w:rsid w:val="003F4022"/>
    <w:rsid w:val="003F5165"/>
    <w:rsid w:val="003F5438"/>
    <w:rsid w:val="003F5BEE"/>
    <w:rsid w:val="003F5F2D"/>
    <w:rsid w:val="003F60A5"/>
    <w:rsid w:val="003F638C"/>
    <w:rsid w:val="003F70F7"/>
    <w:rsid w:val="003F73E7"/>
    <w:rsid w:val="003F7D58"/>
    <w:rsid w:val="003F7EEF"/>
    <w:rsid w:val="004004FA"/>
    <w:rsid w:val="004009F3"/>
    <w:rsid w:val="00400AB5"/>
    <w:rsid w:val="00401F8B"/>
    <w:rsid w:val="00402572"/>
    <w:rsid w:val="00403A45"/>
    <w:rsid w:val="0040431E"/>
    <w:rsid w:val="004048A6"/>
    <w:rsid w:val="0040511E"/>
    <w:rsid w:val="0040542A"/>
    <w:rsid w:val="00405A78"/>
    <w:rsid w:val="004060CC"/>
    <w:rsid w:val="00406302"/>
    <w:rsid w:val="00406D04"/>
    <w:rsid w:val="00407093"/>
    <w:rsid w:val="00410C16"/>
    <w:rsid w:val="00412A30"/>
    <w:rsid w:val="00412AE7"/>
    <w:rsid w:val="0041477F"/>
    <w:rsid w:val="004147B1"/>
    <w:rsid w:val="00415AF1"/>
    <w:rsid w:val="00416A21"/>
    <w:rsid w:val="00416BA3"/>
    <w:rsid w:val="00416EF5"/>
    <w:rsid w:val="0042288E"/>
    <w:rsid w:val="00422AEE"/>
    <w:rsid w:val="00422CE3"/>
    <w:rsid w:val="00423666"/>
    <w:rsid w:val="00425515"/>
    <w:rsid w:val="00425DD0"/>
    <w:rsid w:val="004262A5"/>
    <w:rsid w:val="00426876"/>
    <w:rsid w:val="00426F73"/>
    <w:rsid w:val="004276B8"/>
    <w:rsid w:val="00430954"/>
    <w:rsid w:val="00430A5E"/>
    <w:rsid w:val="0043189B"/>
    <w:rsid w:val="0043286F"/>
    <w:rsid w:val="00432D32"/>
    <w:rsid w:val="00433B0A"/>
    <w:rsid w:val="00434D8B"/>
    <w:rsid w:val="00436268"/>
    <w:rsid w:val="00436E21"/>
    <w:rsid w:val="004371B1"/>
    <w:rsid w:val="00440651"/>
    <w:rsid w:val="00441739"/>
    <w:rsid w:val="00441B10"/>
    <w:rsid w:val="00443209"/>
    <w:rsid w:val="004434BC"/>
    <w:rsid w:val="00443BE6"/>
    <w:rsid w:val="004440C1"/>
    <w:rsid w:val="00444770"/>
    <w:rsid w:val="004452E7"/>
    <w:rsid w:val="004453D1"/>
    <w:rsid w:val="004456B0"/>
    <w:rsid w:val="00447782"/>
    <w:rsid w:val="00447DCE"/>
    <w:rsid w:val="004504E6"/>
    <w:rsid w:val="00450547"/>
    <w:rsid w:val="00450971"/>
    <w:rsid w:val="0045126A"/>
    <w:rsid w:val="004524F9"/>
    <w:rsid w:val="00452B59"/>
    <w:rsid w:val="004532C9"/>
    <w:rsid w:val="004532D3"/>
    <w:rsid w:val="00453350"/>
    <w:rsid w:val="004534CC"/>
    <w:rsid w:val="00453F25"/>
    <w:rsid w:val="00455231"/>
    <w:rsid w:val="00455CEC"/>
    <w:rsid w:val="004570E9"/>
    <w:rsid w:val="00457415"/>
    <w:rsid w:val="00460500"/>
    <w:rsid w:val="004620A9"/>
    <w:rsid w:val="0046255A"/>
    <w:rsid w:val="004633D3"/>
    <w:rsid w:val="0046384E"/>
    <w:rsid w:val="00463E17"/>
    <w:rsid w:val="00464B3B"/>
    <w:rsid w:val="004659A6"/>
    <w:rsid w:val="004660C6"/>
    <w:rsid w:val="00466E58"/>
    <w:rsid w:val="004673AE"/>
    <w:rsid w:val="00467CD3"/>
    <w:rsid w:val="0047081A"/>
    <w:rsid w:val="0047135A"/>
    <w:rsid w:val="004722D9"/>
    <w:rsid w:val="00472C33"/>
    <w:rsid w:val="00473C22"/>
    <w:rsid w:val="0047410A"/>
    <w:rsid w:val="00474166"/>
    <w:rsid w:val="0047470D"/>
    <w:rsid w:val="00474B87"/>
    <w:rsid w:val="004753B3"/>
    <w:rsid w:val="00475A21"/>
    <w:rsid w:val="00476080"/>
    <w:rsid w:val="00476ADE"/>
    <w:rsid w:val="00476C8A"/>
    <w:rsid w:val="00477229"/>
    <w:rsid w:val="00477750"/>
    <w:rsid w:val="00480335"/>
    <w:rsid w:val="0048040A"/>
    <w:rsid w:val="00481310"/>
    <w:rsid w:val="00481606"/>
    <w:rsid w:val="00482A4E"/>
    <w:rsid w:val="00482F0B"/>
    <w:rsid w:val="004834BB"/>
    <w:rsid w:val="00485DED"/>
    <w:rsid w:val="00486634"/>
    <w:rsid w:val="0048767C"/>
    <w:rsid w:val="00487DB6"/>
    <w:rsid w:val="0049145F"/>
    <w:rsid w:val="00494094"/>
    <w:rsid w:val="00494315"/>
    <w:rsid w:val="00494918"/>
    <w:rsid w:val="00494D45"/>
    <w:rsid w:val="00495780"/>
    <w:rsid w:val="004958CF"/>
    <w:rsid w:val="00495F3C"/>
    <w:rsid w:val="004964ED"/>
    <w:rsid w:val="00496C31"/>
    <w:rsid w:val="00497748"/>
    <w:rsid w:val="00497765"/>
    <w:rsid w:val="00497BBC"/>
    <w:rsid w:val="00497CC6"/>
    <w:rsid w:val="00497D03"/>
    <w:rsid w:val="004A026D"/>
    <w:rsid w:val="004A0A92"/>
    <w:rsid w:val="004A1392"/>
    <w:rsid w:val="004A37CC"/>
    <w:rsid w:val="004A3BB7"/>
    <w:rsid w:val="004A3F91"/>
    <w:rsid w:val="004A4302"/>
    <w:rsid w:val="004A4BB9"/>
    <w:rsid w:val="004A5EA3"/>
    <w:rsid w:val="004A7098"/>
    <w:rsid w:val="004A712E"/>
    <w:rsid w:val="004B0717"/>
    <w:rsid w:val="004B1DE8"/>
    <w:rsid w:val="004B1FA4"/>
    <w:rsid w:val="004B3BB2"/>
    <w:rsid w:val="004B3F58"/>
    <w:rsid w:val="004B6DA4"/>
    <w:rsid w:val="004B730F"/>
    <w:rsid w:val="004B7694"/>
    <w:rsid w:val="004B7B1F"/>
    <w:rsid w:val="004C0306"/>
    <w:rsid w:val="004C0780"/>
    <w:rsid w:val="004C2059"/>
    <w:rsid w:val="004C2C4E"/>
    <w:rsid w:val="004C2FFD"/>
    <w:rsid w:val="004C381C"/>
    <w:rsid w:val="004C445E"/>
    <w:rsid w:val="004C4ED7"/>
    <w:rsid w:val="004C7071"/>
    <w:rsid w:val="004C7197"/>
    <w:rsid w:val="004C7876"/>
    <w:rsid w:val="004D07E3"/>
    <w:rsid w:val="004D1D1C"/>
    <w:rsid w:val="004D38C2"/>
    <w:rsid w:val="004D4236"/>
    <w:rsid w:val="004D5CB2"/>
    <w:rsid w:val="004D688B"/>
    <w:rsid w:val="004D7A1D"/>
    <w:rsid w:val="004D7E64"/>
    <w:rsid w:val="004E058B"/>
    <w:rsid w:val="004E099C"/>
    <w:rsid w:val="004E0AD5"/>
    <w:rsid w:val="004E0FDB"/>
    <w:rsid w:val="004E3876"/>
    <w:rsid w:val="004E4199"/>
    <w:rsid w:val="004E4F56"/>
    <w:rsid w:val="004E5E30"/>
    <w:rsid w:val="004E60F3"/>
    <w:rsid w:val="004E72D5"/>
    <w:rsid w:val="004E7A0E"/>
    <w:rsid w:val="004F0C80"/>
    <w:rsid w:val="004F0FD6"/>
    <w:rsid w:val="004F19E4"/>
    <w:rsid w:val="004F209F"/>
    <w:rsid w:val="004F3801"/>
    <w:rsid w:val="004F3DEB"/>
    <w:rsid w:val="004F3F4D"/>
    <w:rsid w:val="004F4184"/>
    <w:rsid w:val="004F45D1"/>
    <w:rsid w:val="004F4B26"/>
    <w:rsid w:val="004F543F"/>
    <w:rsid w:val="004F593E"/>
    <w:rsid w:val="004F5E1B"/>
    <w:rsid w:val="004F6288"/>
    <w:rsid w:val="004F7008"/>
    <w:rsid w:val="004F7029"/>
    <w:rsid w:val="00500A06"/>
    <w:rsid w:val="00500C6A"/>
    <w:rsid w:val="00501EDA"/>
    <w:rsid w:val="005024A8"/>
    <w:rsid w:val="00503C35"/>
    <w:rsid w:val="0050403E"/>
    <w:rsid w:val="00504346"/>
    <w:rsid w:val="00504A4A"/>
    <w:rsid w:val="00504BC3"/>
    <w:rsid w:val="00505DF9"/>
    <w:rsid w:val="00505E3F"/>
    <w:rsid w:val="00505FD5"/>
    <w:rsid w:val="00506602"/>
    <w:rsid w:val="00506D89"/>
    <w:rsid w:val="00507593"/>
    <w:rsid w:val="00507C52"/>
    <w:rsid w:val="00507D90"/>
    <w:rsid w:val="005101D8"/>
    <w:rsid w:val="00510286"/>
    <w:rsid w:val="0051177A"/>
    <w:rsid w:val="00512935"/>
    <w:rsid w:val="00512CD7"/>
    <w:rsid w:val="00513CB9"/>
    <w:rsid w:val="0051434D"/>
    <w:rsid w:val="00515F05"/>
    <w:rsid w:val="00516478"/>
    <w:rsid w:val="00516584"/>
    <w:rsid w:val="00516A67"/>
    <w:rsid w:val="00516D70"/>
    <w:rsid w:val="00516F04"/>
    <w:rsid w:val="0051775B"/>
    <w:rsid w:val="00517D27"/>
    <w:rsid w:val="00517FA3"/>
    <w:rsid w:val="00521297"/>
    <w:rsid w:val="005226A4"/>
    <w:rsid w:val="0052316B"/>
    <w:rsid w:val="00524F5F"/>
    <w:rsid w:val="00526093"/>
    <w:rsid w:val="005271A0"/>
    <w:rsid w:val="0052736A"/>
    <w:rsid w:val="0052762A"/>
    <w:rsid w:val="0053098B"/>
    <w:rsid w:val="00530A6F"/>
    <w:rsid w:val="00531307"/>
    <w:rsid w:val="005313BF"/>
    <w:rsid w:val="00531ADB"/>
    <w:rsid w:val="00531CF3"/>
    <w:rsid w:val="005320D8"/>
    <w:rsid w:val="00532A7D"/>
    <w:rsid w:val="00533441"/>
    <w:rsid w:val="005341F0"/>
    <w:rsid w:val="005344D2"/>
    <w:rsid w:val="0053461C"/>
    <w:rsid w:val="00534739"/>
    <w:rsid w:val="005348CB"/>
    <w:rsid w:val="0053602C"/>
    <w:rsid w:val="00536954"/>
    <w:rsid w:val="00537414"/>
    <w:rsid w:val="00537445"/>
    <w:rsid w:val="00537535"/>
    <w:rsid w:val="005378C6"/>
    <w:rsid w:val="00537B31"/>
    <w:rsid w:val="00537D94"/>
    <w:rsid w:val="00537F8B"/>
    <w:rsid w:val="00540277"/>
    <w:rsid w:val="0054088A"/>
    <w:rsid w:val="00541C55"/>
    <w:rsid w:val="0054413F"/>
    <w:rsid w:val="00544AC3"/>
    <w:rsid w:val="00544CEE"/>
    <w:rsid w:val="00546FC8"/>
    <w:rsid w:val="0055060C"/>
    <w:rsid w:val="00551BE6"/>
    <w:rsid w:val="005520B9"/>
    <w:rsid w:val="00552F57"/>
    <w:rsid w:val="00554CEE"/>
    <w:rsid w:val="00554E5F"/>
    <w:rsid w:val="005554B5"/>
    <w:rsid w:val="005569D4"/>
    <w:rsid w:val="005574E6"/>
    <w:rsid w:val="005614D1"/>
    <w:rsid w:val="00563087"/>
    <w:rsid w:val="005634C7"/>
    <w:rsid w:val="00564A0A"/>
    <w:rsid w:val="005657DA"/>
    <w:rsid w:val="00566656"/>
    <w:rsid w:val="005708A7"/>
    <w:rsid w:val="005708C6"/>
    <w:rsid w:val="0057128A"/>
    <w:rsid w:val="00571BDB"/>
    <w:rsid w:val="0057289E"/>
    <w:rsid w:val="00572AD2"/>
    <w:rsid w:val="005731B4"/>
    <w:rsid w:val="005739CB"/>
    <w:rsid w:val="00573D05"/>
    <w:rsid w:val="0057401E"/>
    <w:rsid w:val="0057518E"/>
    <w:rsid w:val="00575310"/>
    <w:rsid w:val="00575792"/>
    <w:rsid w:val="00576ADC"/>
    <w:rsid w:val="005805CC"/>
    <w:rsid w:val="0058149C"/>
    <w:rsid w:val="00581D4B"/>
    <w:rsid w:val="00582961"/>
    <w:rsid w:val="00582E81"/>
    <w:rsid w:val="00582FA6"/>
    <w:rsid w:val="00583324"/>
    <w:rsid w:val="005839F6"/>
    <w:rsid w:val="00583DAC"/>
    <w:rsid w:val="00584874"/>
    <w:rsid w:val="00586CF3"/>
    <w:rsid w:val="0058719D"/>
    <w:rsid w:val="0058745B"/>
    <w:rsid w:val="0059000C"/>
    <w:rsid w:val="0059007A"/>
    <w:rsid w:val="00591853"/>
    <w:rsid w:val="00591905"/>
    <w:rsid w:val="00591AF0"/>
    <w:rsid w:val="00592F76"/>
    <w:rsid w:val="00593A3D"/>
    <w:rsid w:val="0059538C"/>
    <w:rsid w:val="00596406"/>
    <w:rsid w:val="00596448"/>
    <w:rsid w:val="00596EA3"/>
    <w:rsid w:val="005970CC"/>
    <w:rsid w:val="00597874"/>
    <w:rsid w:val="005A15A1"/>
    <w:rsid w:val="005A18D7"/>
    <w:rsid w:val="005A19F6"/>
    <w:rsid w:val="005A3DE3"/>
    <w:rsid w:val="005A428F"/>
    <w:rsid w:val="005A4AEE"/>
    <w:rsid w:val="005A4D21"/>
    <w:rsid w:val="005A5369"/>
    <w:rsid w:val="005A6123"/>
    <w:rsid w:val="005A66CA"/>
    <w:rsid w:val="005A6EFD"/>
    <w:rsid w:val="005B0340"/>
    <w:rsid w:val="005B07F1"/>
    <w:rsid w:val="005B08DF"/>
    <w:rsid w:val="005B11DA"/>
    <w:rsid w:val="005B18A0"/>
    <w:rsid w:val="005B2BE0"/>
    <w:rsid w:val="005B2CCC"/>
    <w:rsid w:val="005B3039"/>
    <w:rsid w:val="005B3387"/>
    <w:rsid w:val="005B34B9"/>
    <w:rsid w:val="005B3FEE"/>
    <w:rsid w:val="005B510B"/>
    <w:rsid w:val="005B5E66"/>
    <w:rsid w:val="005B5E6B"/>
    <w:rsid w:val="005B6557"/>
    <w:rsid w:val="005B6AAB"/>
    <w:rsid w:val="005C07AF"/>
    <w:rsid w:val="005C0FAE"/>
    <w:rsid w:val="005C18F3"/>
    <w:rsid w:val="005C1C5C"/>
    <w:rsid w:val="005C2930"/>
    <w:rsid w:val="005C5FF5"/>
    <w:rsid w:val="005C628F"/>
    <w:rsid w:val="005C673A"/>
    <w:rsid w:val="005C6A75"/>
    <w:rsid w:val="005C75BA"/>
    <w:rsid w:val="005C7E64"/>
    <w:rsid w:val="005D037A"/>
    <w:rsid w:val="005D154D"/>
    <w:rsid w:val="005D19C5"/>
    <w:rsid w:val="005D3070"/>
    <w:rsid w:val="005D63AC"/>
    <w:rsid w:val="005D68BD"/>
    <w:rsid w:val="005D72DC"/>
    <w:rsid w:val="005E05C3"/>
    <w:rsid w:val="005E0BAA"/>
    <w:rsid w:val="005E227D"/>
    <w:rsid w:val="005E311C"/>
    <w:rsid w:val="005E38A8"/>
    <w:rsid w:val="005E58EA"/>
    <w:rsid w:val="005E63BE"/>
    <w:rsid w:val="005E7E28"/>
    <w:rsid w:val="005F2213"/>
    <w:rsid w:val="005F2827"/>
    <w:rsid w:val="005F2D94"/>
    <w:rsid w:val="005F36B0"/>
    <w:rsid w:val="005F4406"/>
    <w:rsid w:val="005F446A"/>
    <w:rsid w:val="005F4478"/>
    <w:rsid w:val="005F464D"/>
    <w:rsid w:val="005F6D61"/>
    <w:rsid w:val="005F7014"/>
    <w:rsid w:val="005F7486"/>
    <w:rsid w:val="005F74E5"/>
    <w:rsid w:val="005F7581"/>
    <w:rsid w:val="006010F9"/>
    <w:rsid w:val="00602B75"/>
    <w:rsid w:val="0060355D"/>
    <w:rsid w:val="00603935"/>
    <w:rsid w:val="00604353"/>
    <w:rsid w:val="006046AE"/>
    <w:rsid w:val="00605040"/>
    <w:rsid w:val="00606F93"/>
    <w:rsid w:val="006071F3"/>
    <w:rsid w:val="00607234"/>
    <w:rsid w:val="006102F1"/>
    <w:rsid w:val="00610DB6"/>
    <w:rsid w:val="00610DB9"/>
    <w:rsid w:val="00610F5F"/>
    <w:rsid w:val="00611BE7"/>
    <w:rsid w:val="00613981"/>
    <w:rsid w:val="00613F99"/>
    <w:rsid w:val="006140EF"/>
    <w:rsid w:val="006150F6"/>
    <w:rsid w:val="00615931"/>
    <w:rsid w:val="00616CAC"/>
    <w:rsid w:val="006178A3"/>
    <w:rsid w:val="006178E2"/>
    <w:rsid w:val="00617F38"/>
    <w:rsid w:val="00620108"/>
    <w:rsid w:val="00620299"/>
    <w:rsid w:val="00621938"/>
    <w:rsid w:val="00623BC2"/>
    <w:rsid w:val="00624055"/>
    <w:rsid w:val="00624DF8"/>
    <w:rsid w:val="00625A0D"/>
    <w:rsid w:val="00625F2A"/>
    <w:rsid w:val="0062648B"/>
    <w:rsid w:val="00626C84"/>
    <w:rsid w:val="00627C65"/>
    <w:rsid w:val="00630D5B"/>
    <w:rsid w:val="006311F8"/>
    <w:rsid w:val="0063129E"/>
    <w:rsid w:val="00632494"/>
    <w:rsid w:val="006328E9"/>
    <w:rsid w:val="0063465B"/>
    <w:rsid w:val="006352E7"/>
    <w:rsid w:val="00635938"/>
    <w:rsid w:val="00636B6A"/>
    <w:rsid w:val="006376FD"/>
    <w:rsid w:val="00640E1C"/>
    <w:rsid w:val="00641226"/>
    <w:rsid w:val="0064354D"/>
    <w:rsid w:val="00644163"/>
    <w:rsid w:val="006446DD"/>
    <w:rsid w:val="00644B1C"/>
    <w:rsid w:val="00644D25"/>
    <w:rsid w:val="00646255"/>
    <w:rsid w:val="00647898"/>
    <w:rsid w:val="006510DA"/>
    <w:rsid w:val="00651543"/>
    <w:rsid w:val="006538AA"/>
    <w:rsid w:val="00653AD0"/>
    <w:rsid w:val="00653AF3"/>
    <w:rsid w:val="006541EF"/>
    <w:rsid w:val="0066076D"/>
    <w:rsid w:val="00660CD7"/>
    <w:rsid w:val="00661E6C"/>
    <w:rsid w:val="00662DF4"/>
    <w:rsid w:val="0066382A"/>
    <w:rsid w:val="0066481E"/>
    <w:rsid w:val="00665399"/>
    <w:rsid w:val="006674E4"/>
    <w:rsid w:val="00670041"/>
    <w:rsid w:val="006719FC"/>
    <w:rsid w:val="00671B57"/>
    <w:rsid w:val="0067336C"/>
    <w:rsid w:val="00674CF6"/>
    <w:rsid w:val="00676BE1"/>
    <w:rsid w:val="00677EBB"/>
    <w:rsid w:val="0068030C"/>
    <w:rsid w:val="00680938"/>
    <w:rsid w:val="00680AEA"/>
    <w:rsid w:val="00680F0D"/>
    <w:rsid w:val="00682235"/>
    <w:rsid w:val="00682DB9"/>
    <w:rsid w:val="00682DBB"/>
    <w:rsid w:val="00683B3A"/>
    <w:rsid w:val="00683BE2"/>
    <w:rsid w:val="00684470"/>
    <w:rsid w:val="00684C63"/>
    <w:rsid w:val="00685C09"/>
    <w:rsid w:val="0068747D"/>
    <w:rsid w:val="006923A9"/>
    <w:rsid w:val="0069264C"/>
    <w:rsid w:val="00692B41"/>
    <w:rsid w:val="00693A3A"/>
    <w:rsid w:val="00693DA9"/>
    <w:rsid w:val="00697CCD"/>
    <w:rsid w:val="006A15D5"/>
    <w:rsid w:val="006A25DA"/>
    <w:rsid w:val="006A29B8"/>
    <w:rsid w:val="006A3AC0"/>
    <w:rsid w:val="006A3DF1"/>
    <w:rsid w:val="006A3FAD"/>
    <w:rsid w:val="006A4CF5"/>
    <w:rsid w:val="006A51A2"/>
    <w:rsid w:val="006A52D5"/>
    <w:rsid w:val="006A6A59"/>
    <w:rsid w:val="006A73D0"/>
    <w:rsid w:val="006A7589"/>
    <w:rsid w:val="006B0438"/>
    <w:rsid w:val="006B1378"/>
    <w:rsid w:val="006B1E03"/>
    <w:rsid w:val="006B1E5B"/>
    <w:rsid w:val="006B2A94"/>
    <w:rsid w:val="006B374F"/>
    <w:rsid w:val="006B3BF5"/>
    <w:rsid w:val="006B3C30"/>
    <w:rsid w:val="006B3E6D"/>
    <w:rsid w:val="006B3F92"/>
    <w:rsid w:val="006B4345"/>
    <w:rsid w:val="006B4437"/>
    <w:rsid w:val="006B4B8F"/>
    <w:rsid w:val="006B5147"/>
    <w:rsid w:val="006B5F64"/>
    <w:rsid w:val="006B6271"/>
    <w:rsid w:val="006B6336"/>
    <w:rsid w:val="006B6FC5"/>
    <w:rsid w:val="006B715B"/>
    <w:rsid w:val="006B75C3"/>
    <w:rsid w:val="006C135D"/>
    <w:rsid w:val="006C15A7"/>
    <w:rsid w:val="006C1709"/>
    <w:rsid w:val="006C31AF"/>
    <w:rsid w:val="006C3DDD"/>
    <w:rsid w:val="006C4211"/>
    <w:rsid w:val="006C460B"/>
    <w:rsid w:val="006C59E7"/>
    <w:rsid w:val="006C5F3C"/>
    <w:rsid w:val="006C7703"/>
    <w:rsid w:val="006C77D5"/>
    <w:rsid w:val="006C7BE3"/>
    <w:rsid w:val="006C7D31"/>
    <w:rsid w:val="006D183B"/>
    <w:rsid w:val="006D1E8F"/>
    <w:rsid w:val="006D1F20"/>
    <w:rsid w:val="006D2CDC"/>
    <w:rsid w:val="006D3202"/>
    <w:rsid w:val="006D4AA1"/>
    <w:rsid w:val="006D57B3"/>
    <w:rsid w:val="006D57C1"/>
    <w:rsid w:val="006D62D5"/>
    <w:rsid w:val="006D68BD"/>
    <w:rsid w:val="006D74F7"/>
    <w:rsid w:val="006D7BA8"/>
    <w:rsid w:val="006E0114"/>
    <w:rsid w:val="006E0AE2"/>
    <w:rsid w:val="006E0ECC"/>
    <w:rsid w:val="006E19BA"/>
    <w:rsid w:val="006E2C1F"/>
    <w:rsid w:val="006E42CD"/>
    <w:rsid w:val="006E4DA6"/>
    <w:rsid w:val="006E691A"/>
    <w:rsid w:val="006E761D"/>
    <w:rsid w:val="006E7A30"/>
    <w:rsid w:val="006E7CC9"/>
    <w:rsid w:val="006F01FC"/>
    <w:rsid w:val="006F047C"/>
    <w:rsid w:val="006F12F6"/>
    <w:rsid w:val="006F18F6"/>
    <w:rsid w:val="006F2822"/>
    <w:rsid w:val="006F2E2F"/>
    <w:rsid w:val="006F3EDF"/>
    <w:rsid w:val="006F44A3"/>
    <w:rsid w:val="006F4D76"/>
    <w:rsid w:val="006F4E89"/>
    <w:rsid w:val="006F500F"/>
    <w:rsid w:val="006F5942"/>
    <w:rsid w:val="006F5D52"/>
    <w:rsid w:val="006F716F"/>
    <w:rsid w:val="007003B3"/>
    <w:rsid w:val="00700F7C"/>
    <w:rsid w:val="0070118B"/>
    <w:rsid w:val="007019C0"/>
    <w:rsid w:val="00703C42"/>
    <w:rsid w:val="00704027"/>
    <w:rsid w:val="00704313"/>
    <w:rsid w:val="007043AC"/>
    <w:rsid w:val="00704B28"/>
    <w:rsid w:val="00704E6F"/>
    <w:rsid w:val="007056F7"/>
    <w:rsid w:val="00705E80"/>
    <w:rsid w:val="00706223"/>
    <w:rsid w:val="007071F7"/>
    <w:rsid w:val="007119F4"/>
    <w:rsid w:val="0071217B"/>
    <w:rsid w:val="00712599"/>
    <w:rsid w:val="00712F01"/>
    <w:rsid w:val="007133C4"/>
    <w:rsid w:val="00714C7B"/>
    <w:rsid w:val="00715D07"/>
    <w:rsid w:val="007160DA"/>
    <w:rsid w:val="007163B5"/>
    <w:rsid w:val="00716874"/>
    <w:rsid w:val="007171DA"/>
    <w:rsid w:val="00717ECE"/>
    <w:rsid w:val="00717F8E"/>
    <w:rsid w:val="00720ED9"/>
    <w:rsid w:val="00721082"/>
    <w:rsid w:val="00721DA8"/>
    <w:rsid w:val="007227EB"/>
    <w:rsid w:val="00722892"/>
    <w:rsid w:val="00722A3A"/>
    <w:rsid w:val="0072339F"/>
    <w:rsid w:val="00723B1B"/>
    <w:rsid w:val="00723EFE"/>
    <w:rsid w:val="0072496C"/>
    <w:rsid w:val="00724CEB"/>
    <w:rsid w:val="00725035"/>
    <w:rsid w:val="007251A2"/>
    <w:rsid w:val="00726279"/>
    <w:rsid w:val="00727405"/>
    <w:rsid w:val="00727B88"/>
    <w:rsid w:val="00730301"/>
    <w:rsid w:val="0073037A"/>
    <w:rsid w:val="007308AD"/>
    <w:rsid w:val="007312A3"/>
    <w:rsid w:val="00732423"/>
    <w:rsid w:val="007334C3"/>
    <w:rsid w:val="007335A9"/>
    <w:rsid w:val="007336C7"/>
    <w:rsid w:val="00733F92"/>
    <w:rsid w:val="007346D4"/>
    <w:rsid w:val="00734D89"/>
    <w:rsid w:val="00735B3D"/>
    <w:rsid w:val="00736536"/>
    <w:rsid w:val="00736BAC"/>
    <w:rsid w:val="00736F7A"/>
    <w:rsid w:val="00737C30"/>
    <w:rsid w:val="00737D25"/>
    <w:rsid w:val="007401FC"/>
    <w:rsid w:val="007401FE"/>
    <w:rsid w:val="00740A5D"/>
    <w:rsid w:val="0074153B"/>
    <w:rsid w:val="00741668"/>
    <w:rsid w:val="00741714"/>
    <w:rsid w:val="007417A7"/>
    <w:rsid w:val="00741BB3"/>
    <w:rsid w:val="00741CE6"/>
    <w:rsid w:val="00741DF9"/>
    <w:rsid w:val="00742975"/>
    <w:rsid w:val="00742C25"/>
    <w:rsid w:val="0074313F"/>
    <w:rsid w:val="007432DB"/>
    <w:rsid w:val="0074452E"/>
    <w:rsid w:val="0074515C"/>
    <w:rsid w:val="0074574E"/>
    <w:rsid w:val="0074716F"/>
    <w:rsid w:val="00747A03"/>
    <w:rsid w:val="007504D5"/>
    <w:rsid w:val="00751055"/>
    <w:rsid w:val="00752D7D"/>
    <w:rsid w:val="007533D7"/>
    <w:rsid w:val="00753D13"/>
    <w:rsid w:val="00754D2B"/>
    <w:rsid w:val="0075548F"/>
    <w:rsid w:val="00755F8F"/>
    <w:rsid w:val="0075651E"/>
    <w:rsid w:val="00760E86"/>
    <w:rsid w:val="007615B2"/>
    <w:rsid w:val="007617C6"/>
    <w:rsid w:val="007628AA"/>
    <w:rsid w:val="00762C0C"/>
    <w:rsid w:val="007633AB"/>
    <w:rsid w:val="00764581"/>
    <w:rsid w:val="00764AB3"/>
    <w:rsid w:val="007651C9"/>
    <w:rsid w:val="00765871"/>
    <w:rsid w:val="007663C6"/>
    <w:rsid w:val="00766467"/>
    <w:rsid w:val="00766545"/>
    <w:rsid w:val="00766D7F"/>
    <w:rsid w:val="00770AC8"/>
    <w:rsid w:val="007713B0"/>
    <w:rsid w:val="00771546"/>
    <w:rsid w:val="007720C8"/>
    <w:rsid w:val="00772BFE"/>
    <w:rsid w:val="007746C4"/>
    <w:rsid w:val="00774882"/>
    <w:rsid w:val="00777264"/>
    <w:rsid w:val="00777BC3"/>
    <w:rsid w:val="007809A1"/>
    <w:rsid w:val="00781076"/>
    <w:rsid w:val="00781337"/>
    <w:rsid w:val="00781C55"/>
    <w:rsid w:val="00781D4C"/>
    <w:rsid w:val="00782F91"/>
    <w:rsid w:val="007833A4"/>
    <w:rsid w:val="00783725"/>
    <w:rsid w:val="0078447D"/>
    <w:rsid w:val="00784970"/>
    <w:rsid w:val="00784F3B"/>
    <w:rsid w:val="00785839"/>
    <w:rsid w:val="00785ABC"/>
    <w:rsid w:val="00786018"/>
    <w:rsid w:val="007862AB"/>
    <w:rsid w:val="0078642C"/>
    <w:rsid w:val="007866C9"/>
    <w:rsid w:val="007866D8"/>
    <w:rsid w:val="00786D5A"/>
    <w:rsid w:val="007874EC"/>
    <w:rsid w:val="0078774C"/>
    <w:rsid w:val="00790CA6"/>
    <w:rsid w:val="00792076"/>
    <w:rsid w:val="00794898"/>
    <w:rsid w:val="00794DD2"/>
    <w:rsid w:val="0079671F"/>
    <w:rsid w:val="007968F5"/>
    <w:rsid w:val="00796E55"/>
    <w:rsid w:val="007A0AC9"/>
    <w:rsid w:val="007A0F78"/>
    <w:rsid w:val="007A1E01"/>
    <w:rsid w:val="007A30D1"/>
    <w:rsid w:val="007A488A"/>
    <w:rsid w:val="007A49A7"/>
    <w:rsid w:val="007A60C9"/>
    <w:rsid w:val="007A7A5E"/>
    <w:rsid w:val="007B05AA"/>
    <w:rsid w:val="007B11A3"/>
    <w:rsid w:val="007B1225"/>
    <w:rsid w:val="007B1604"/>
    <w:rsid w:val="007B1ED6"/>
    <w:rsid w:val="007B43F6"/>
    <w:rsid w:val="007B44A9"/>
    <w:rsid w:val="007B4587"/>
    <w:rsid w:val="007B4BA0"/>
    <w:rsid w:val="007B6F79"/>
    <w:rsid w:val="007B6F9D"/>
    <w:rsid w:val="007C20C3"/>
    <w:rsid w:val="007C29E5"/>
    <w:rsid w:val="007C2A32"/>
    <w:rsid w:val="007C302F"/>
    <w:rsid w:val="007C40AE"/>
    <w:rsid w:val="007C45AD"/>
    <w:rsid w:val="007C5732"/>
    <w:rsid w:val="007C5987"/>
    <w:rsid w:val="007C5C77"/>
    <w:rsid w:val="007C783F"/>
    <w:rsid w:val="007D0C36"/>
    <w:rsid w:val="007D2DAC"/>
    <w:rsid w:val="007D50EF"/>
    <w:rsid w:val="007D53C4"/>
    <w:rsid w:val="007D5442"/>
    <w:rsid w:val="007D7642"/>
    <w:rsid w:val="007E2A78"/>
    <w:rsid w:val="007E3445"/>
    <w:rsid w:val="007E4510"/>
    <w:rsid w:val="007E491A"/>
    <w:rsid w:val="007E5156"/>
    <w:rsid w:val="007E7A7D"/>
    <w:rsid w:val="007E7DDD"/>
    <w:rsid w:val="007F0043"/>
    <w:rsid w:val="007F0270"/>
    <w:rsid w:val="007F02F5"/>
    <w:rsid w:val="007F13D7"/>
    <w:rsid w:val="007F18DD"/>
    <w:rsid w:val="007F2C16"/>
    <w:rsid w:val="007F3268"/>
    <w:rsid w:val="007F42B0"/>
    <w:rsid w:val="007F56A0"/>
    <w:rsid w:val="007F5F66"/>
    <w:rsid w:val="007F6758"/>
    <w:rsid w:val="007F7D48"/>
    <w:rsid w:val="0080210D"/>
    <w:rsid w:val="008040F1"/>
    <w:rsid w:val="00805113"/>
    <w:rsid w:val="00805633"/>
    <w:rsid w:val="0080626D"/>
    <w:rsid w:val="00806768"/>
    <w:rsid w:val="00806925"/>
    <w:rsid w:val="00806BFF"/>
    <w:rsid w:val="00807F44"/>
    <w:rsid w:val="00807FAC"/>
    <w:rsid w:val="00810A25"/>
    <w:rsid w:val="00811B0F"/>
    <w:rsid w:val="00811C41"/>
    <w:rsid w:val="0081253E"/>
    <w:rsid w:val="00812ADC"/>
    <w:rsid w:val="008133A9"/>
    <w:rsid w:val="00813EC4"/>
    <w:rsid w:val="00815563"/>
    <w:rsid w:val="0081634A"/>
    <w:rsid w:val="0081676E"/>
    <w:rsid w:val="00817619"/>
    <w:rsid w:val="00817CFA"/>
    <w:rsid w:val="00817E71"/>
    <w:rsid w:val="00822271"/>
    <w:rsid w:val="008227B3"/>
    <w:rsid w:val="0082362A"/>
    <w:rsid w:val="00824309"/>
    <w:rsid w:val="008247A2"/>
    <w:rsid w:val="00827339"/>
    <w:rsid w:val="00827BC7"/>
    <w:rsid w:val="00831FBB"/>
    <w:rsid w:val="00832451"/>
    <w:rsid w:val="008325E1"/>
    <w:rsid w:val="008328E2"/>
    <w:rsid w:val="00832FAD"/>
    <w:rsid w:val="0083645F"/>
    <w:rsid w:val="00836505"/>
    <w:rsid w:val="0083706B"/>
    <w:rsid w:val="008370C6"/>
    <w:rsid w:val="00840444"/>
    <w:rsid w:val="00840DB5"/>
    <w:rsid w:val="00841334"/>
    <w:rsid w:val="00842BD8"/>
    <w:rsid w:val="00842EF9"/>
    <w:rsid w:val="008440B4"/>
    <w:rsid w:val="00845309"/>
    <w:rsid w:val="00845CEA"/>
    <w:rsid w:val="008473C2"/>
    <w:rsid w:val="00847E44"/>
    <w:rsid w:val="008513B3"/>
    <w:rsid w:val="00851426"/>
    <w:rsid w:val="00851F3B"/>
    <w:rsid w:val="008533C2"/>
    <w:rsid w:val="008534EE"/>
    <w:rsid w:val="00853D72"/>
    <w:rsid w:val="00854436"/>
    <w:rsid w:val="00854697"/>
    <w:rsid w:val="00854A07"/>
    <w:rsid w:val="008550B3"/>
    <w:rsid w:val="008559EB"/>
    <w:rsid w:val="0085616D"/>
    <w:rsid w:val="00856E34"/>
    <w:rsid w:val="0085762A"/>
    <w:rsid w:val="008577EA"/>
    <w:rsid w:val="00857850"/>
    <w:rsid w:val="00862513"/>
    <w:rsid w:val="00862B33"/>
    <w:rsid w:val="00862EC8"/>
    <w:rsid w:val="00863834"/>
    <w:rsid w:val="00863A72"/>
    <w:rsid w:val="00863BD2"/>
    <w:rsid w:val="008648AC"/>
    <w:rsid w:val="00864C27"/>
    <w:rsid w:val="00865A87"/>
    <w:rsid w:val="00865B2C"/>
    <w:rsid w:val="00865D5E"/>
    <w:rsid w:val="00865DB4"/>
    <w:rsid w:val="00866069"/>
    <w:rsid w:val="00866D73"/>
    <w:rsid w:val="00867376"/>
    <w:rsid w:val="008673A1"/>
    <w:rsid w:val="008679F8"/>
    <w:rsid w:val="0087003C"/>
    <w:rsid w:val="00870DB6"/>
    <w:rsid w:val="00871C8B"/>
    <w:rsid w:val="008726CF"/>
    <w:rsid w:val="00872DF9"/>
    <w:rsid w:val="00872FEF"/>
    <w:rsid w:val="00873143"/>
    <w:rsid w:val="00873638"/>
    <w:rsid w:val="00873E42"/>
    <w:rsid w:val="0087417E"/>
    <w:rsid w:val="008742BB"/>
    <w:rsid w:val="0087458F"/>
    <w:rsid w:val="00874673"/>
    <w:rsid w:val="00877213"/>
    <w:rsid w:val="008772BE"/>
    <w:rsid w:val="008773DA"/>
    <w:rsid w:val="008778CC"/>
    <w:rsid w:val="00880FC5"/>
    <w:rsid w:val="00881756"/>
    <w:rsid w:val="00881D2F"/>
    <w:rsid w:val="00882AF1"/>
    <w:rsid w:val="0088396A"/>
    <w:rsid w:val="00883F5F"/>
    <w:rsid w:val="00884373"/>
    <w:rsid w:val="00884A33"/>
    <w:rsid w:val="00884BB9"/>
    <w:rsid w:val="00884DC0"/>
    <w:rsid w:val="00885CEB"/>
    <w:rsid w:val="008861CD"/>
    <w:rsid w:val="008864B3"/>
    <w:rsid w:val="00887A3F"/>
    <w:rsid w:val="00891588"/>
    <w:rsid w:val="0089186D"/>
    <w:rsid w:val="00891A61"/>
    <w:rsid w:val="00891C15"/>
    <w:rsid w:val="00892C6E"/>
    <w:rsid w:val="00892F24"/>
    <w:rsid w:val="0089323C"/>
    <w:rsid w:val="0089369B"/>
    <w:rsid w:val="00893AE3"/>
    <w:rsid w:val="0089490F"/>
    <w:rsid w:val="0089590C"/>
    <w:rsid w:val="008962A6"/>
    <w:rsid w:val="00896A34"/>
    <w:rsid w:val="00896DC7"/>
    <w:rsid w:val="00897476"/>
    <w:rsid w:val="00897A14"/>
    <w:rsid w:val="008A10E5"/>
    <w:rsid w:val="008A150E"/>
    <w:rsid w:val="008A1C4D"/>
    <w:rsid w:val="008A1F21"/>
    <w:rsid w:val="008A2CF2"/>
    <w:rsid w:val="008A2DFE"/>
    <w:rsid w:val="008A37D3"/>
    <w:rsid w:val="008A4DFC"/>
    <w:rsid w:val="008A6688"/>
    <w:rsid w:val="008A6887"/>
    <w:rsid w:val="008A7AA0"/>
    <w:rsid w:val="008B2A9F"/>
    <w:rsid w:val="008B30B9"/>
    <w:rsid w:val="008B34A5"/>
    <w:rsid w:val="008B37FC"/>
    <w:rsid w:val="008B4E04"/>
    <w:rsid w:val="008B5C28"/>
    <w:rsid w:val="008B646C"/>
    <w:rsid w:val="008B6918"/>
    <w:rsid w:val="008B6C8A"/>
    <w:rsid w:val="008B7067"/>
    <w:rsid w:val="008C0138"/>
    <w:rsid w:val="008C0346"/>
    <w:rsid w:val="008C0B94"/>
    <w:rsid w:val="008C0F8B"/>
    <w:rsid w:val="008C1996"/>
    <w:rsid w:val="008C3D80"/>
    <w:rsid w:val="008C43D5"/>
    <w:rsid w:val="008C7D4B"/>
    <w:rsid w:val="008D1844"/>
    <w:rsid w:val="008D1BCE"/>
    <w:rsid w:val="008D1CFC"/>
    <w:rsid w:val="008D1EC3"/>
    <w:rsid w:val="008D277A"/>
    <w:rsid w:val="008D2CE5"/>
    <w:rsid w:val="008D3B60"/>
    <w:rsid w:val="008D4940"/>
    <w:rsid w:val="008D54E8"/>
    <w:rsid w:val="008D5786"/>
    <w:rsid w:val="008D5A86"/>
    <w:rsid w:val="008D5C44"/>
    <w:rsid w:val="008D5C96"/>
    <w:rsid w:val="008D6417"/>
    <w:rsid w:val="008E023F"/>
    <w:rsid w:val="008E09AE"/>
    <w:rsid w:val="008E0D25"/>
    <w:rsid w:val="008E3E7B"/>
    <w:rsid w:val="008E4F2A"/>
    <w:rsid w:val="008E5E67"/>
    <w:rsid w:val="008E62BF"/>
    <w:rsid w:val="008E7AC4"/>
    <w:rsid w:val="008F036C"/>
    <w:rsid w:val="008F104F"/>
    <w:rsid w:val="008F10BD"/>
    <w:rsid w:val="008F2DBA"/>
    <w:rsid w:val="008F461E"/>
    <w:rsid w:val="008F4E32"/>
    <w:rsid w:val="008F56D5"/>
    <w:rsid w:val="008F5933"/>
    <w:rsid w:val="008F5EFF"/>
    <w:rsid w:val="008F5F79"/>
    <w:rsid w:val="008F6FA7"/>
    <w:rsid w:val="008F70A7"/>
    <w:rsid w:val="008F732E"/>
    <w:rsid w:val="009000A5"/>
    <w:rsid w:val="0090022F"/>
    <w:rsid w:val="00900E89"/>
    <w:rsid w:val="00901502"/>
    <w:rsid w:val="0090203A"/>
    <w:rsid w:val="009035D1"/>
    <w:rsid w:val="00903756"/>
    <w:rsid w:val="00903C05"/>
    <w:rsid w:val="0090464D"/>
    <w:rsid w:val="00904DF5"/>
    <w:rsid w:val="00905608"/>
    <w:rsid w:val="00905706"/>
    <w:rsid w:val="009064A5"/>
    <w:rsid w:val="009114B6"/>
    <w:rsid w:val="00911AE4"/>
    <w:rsid w:val="00913DC3"/>
    <w:rsid w:val="009146B4"/>
    <w:rsid w:val="00914A7E"/>
    <w:rsid w:val="00915126"/>
    <w:rsid w:val="0091595A"/>
    <w:rsid w:val="009169D7"/>
    <w:rsid w:val="00917442"/>
    <w:rsid w:val="0092039D"/>
    <w:rsid w:val="009206C8"/>
    <w:rsid w:val="00921E8B"/>
    <w:rsid w:val="009222D8"/>
    <w:rsid w:val="00924793"/>
    <w:rsid w:val="00924F1B"/>
    <w:rsid w:val="0092591C"/>
    <w:rsid w:val="00925B9B"/>
    <w:rsid w:val="0092691F"/>
    <w:rsid w:val="00926FF0"/>
    <w:rsid w:val="009276B5"/>
    <w:rsid w:val="00930524"/>
    <w:rsid w:val="00931465"/>
    <w:rsid w:val="0093269B"/>
    <w:rsid w:val="0093362C"/>
    <w:rsid w:val="00933FA2"/>
    <w:rsid w:val="00934C3B"/>
    <w:rsid w:val="00935825"/>
    <w:rsid w:val="009358D3"/>
    <w:rsid w:val="00937672"/>
    <w:rsid w:val="009376B7"/>
    <w:rsid w:val="0093772E"/>
    <w:rsid w:val="00937FA4"/>
    <w:rsid w:val="00940D89"/>
    <w:rsid w:val="00941969"/>
    <w:rsid w:val="00942E86"/>
    <w:rsid w:val="009433DE"/>
    <w:rsid w:val="00945579"/>
    <w:rsid w:val="009458EB"/>
    <w:rsid w:val="00945A6F"/>
    <w:rsid w:val="00946FBF"/>
    <w:rsid w:val="00950402"/>
    <w:rsid w:val="009518DA"/>
    <w:rsid w:val="00952111"/>
    <w:rsid w:val="009524FD"/>
    <w:rsid w:val="009531E2"/>
    <w:rsid w:val="00953C1F"/>
    <w:rsid w:val="00953F17"/>
    <w:rsid w:val="009547A0"/>
    <w:rsid w:val="0095607E"/>
    <w:rsid w:val="009562D2"/>
    <w:rsid w:val="00957896"/>
    <w:rsid w:val="00957EB3"/>
    <w:rsid w:val="009601B5"/>
    <w:rsid w:val="0096026E"/>
    <w:rsid w:val="00961234"/>
    <w:rsid w:val="00961DE4"/>
    <w:rsid w:val="00962432"/>
    <w:rsid w:val="00962817"/>
    <w:rsid w:val="00962B32"/>
    <w:rsid w:val="009639BF"/>
    <w:rsid w:val="009646EB"/>
    <w:rsid w:val="00965543"/>
    <w:rsid w:val="00971F96"/>
    <w:rsid w:val="0097283D"/>
    <w:rsid w:val="009729E5"/>
    <w:rsid w:val="009729F1"/>
    <w:rsid w:val="00972EE9"/>
    <w:rsid w:val="009739F5"/>
    <w:rsid w:val="009763B8"/>
    <w:rsid w:val="00976827"/>
    <w:rsid w:val="0097765E"/>
    <w:rsid w:val="00980C43"/>
    <w:rsid w:val="00981AFC"/>
    <w:rsid w:val="00982B9A"/>
    <w:rsid w:val="00982BC8"/>
    <w:rsid w:val="00983FEA"/>
    <w:rsid w:val="0098488C"/>
    <w:rsid w:val="00984B2D"/>
    <w:rsid w:val="00984B4C"/>
    <w:rsid w:val="0098539C"/>
    <w:rsid w:val="009854CB"/>
    <w:rsid w:val="00985555"/>
    <w:rsid w:val="009855BB"/>
    <w:rsid w:val="00985D78"/>
    <w:rsid w:val="00987937"/>
    <w:rsid w:val="009903A5"/>
    <w:rsid w:val="0099098C"/>
    <w:rsid w:val="0099133B"/>
    <w:rsid w:val="00991490"/>
    <w:rsid w:val="009915D9"/>
    <w:rsid w:val="00991B64"/>
    <w:rsid w:val="00992015"/>
    <w:rsid w:val="00992B69"/>
    <w:rsid w:val="00993A82"/>
    <w:rsid w:val="0099477C"/>
    <w:rsid w:val="00994FD6"/>
    <w:rsid w:val="009950ED"/>
    <w:rsid w:val="00995554"/>
    <w:rsid w:val="00995A6F"/>
    <w:rsid w:val="00995EDD"/>
    <w:rsid w:val="00996AB1"/>
    <w:rsid w:val="00997088"/>
    <w:rsid w:val="0099736A"/>
    <w:rsid w:val="00997D20"/>
    <w:rsid w:val="00997EDC"/>
    <w:rsid w:val="009A068E"/>
    <w:rsid w:val="009A0E8F"/>
    <w:rsid w:val="009A0F66"/>
    <w:rsid w:val="009A1C30"/>
    <w:rsid w:val="009A3184"/>
    <w:rsid w:val="009A4001"/>
    <w:rsid w:val="009A41A4"/>
    <w:rsid w:val="009A45D0"/>
    <w:rsid w:val="009A5202"/>
    <w:rsid w:val="009A6D11"/>
    <w:rsid w:val="009A7681"/>
    <w:rsid w:val="009A78D2"/>
    <w:rsid w:val="009A7BCB"/>
    <w:rsid w:val="009B10FF"/>
    <w:rsid w:val="009B2785"/>
    <w:rsid w:val="009B450A"/>
    <w:rsid w:val="009B4725"/>
    <w:rsid w:val="009B61C9"/>
    <w:rsid w:val="009B6956"/>
    <w:rsid w:val="009B6A3B"/>
    <w:rsid w:val="009B6AA7"/>
    <w:rsid w:val="009B6C4F"/>
    <w:rsid w:val="009B722C"/>
    <w:rsid w:val="009B7C2B"/>
    <w:rsid w:val="009C02B0"/>
    <w:rsid w:val="009C0CBD"/>
    <w:rsid w:val="009C0D50"/>
    <w:rsid w:val="009C115C"/>
    <w:rsid w:val="009C2924"/>
    <w:rsid w:val="009C2CCC"/>
    <w:rsid w:val="009C3BEE"/>
    <w:rsid w:val="009C40F7"/>
    <w:rsid w:val="009C4177"/>
    <w:rsid w:val="009C59D9"/>
    <w:rsid w:val="009C649F"/>
    <w:rsid w:val="009D02FB"/>
    <w:rsid w:val="009D0311"/>
    <w:rsid w:val="009D0B7B"/>
    <w:rsid w:val="009D26FA"/>
    <w:rsid w:val="009D4FC1"/>
    <w:rsid w:val="009D5185"/>
    <w:rsid w:val="009D59E1"/>
    <w:rsid w:val="009D5A89"/>
    <w:rsid w:val="009D5E18"/>
    <w:rsid w:val="009D61DB"/>
    <w:rsid w:val="009D671A"/>
    <w:rsid w:val="009E13A9"/>
    <w:rsid w:val="009E2693"/>
    <w:rsid w:val="009E410D"/>
    <w:rsid w:val="009E4E6F"/>
    <w:rsid w:val="009E633A"/>
    <w:rsid w:val="009E63E2"/>
    <w:rsid w:val="009E68C8"/>
    <w:rsid w:val="009E7C4A"/>
    <w:rsid w:val="009E7E6D"/>
    <w:rsid w:val="009F0156"/>
    <w:rsid w:val="009F0C4B"/>
    <w:rsid w:val="009F5EA1"/>
    <w:rsid w:val="009F6AD5"/>
    <w:rsid w:val="00A006E3"/>
    <w:rsid w:val="00A00A75"/>
    <w:rsid w:val="00A02777"/>
    <w:rsid w:val="00A04852"/>
    <w:rsid w:val="00A0521D"/>
    <w:rsid w:val="00A05ECF"/>
    <w:rsid w:val="00A06014"/>
    <w:rsid w:val="00A07CA0"/>
    <w:rsid w:val="00A105E1"/>
    <w:rsid w:val="00A11A44"/>
    <w:rsid w:val="00A1239A"/>
    <w:rsid w:val="00A128C4"/>
    <w:rsid w:val="00A13FF0"/>
    <w:rsid w:val="00A1454C"/>
    <w:rsid w:val="00A14EED"/>
    <w:rsid w:val="00A15070"/>
    <w:rsid w:val="00A15A15"/>
    <w:rsid w:val="00A15A6D"/>
    <w:rsid w:val="00A16D90"/>
    <w:rsid w:val="00A17362"/>
    <w:rsid w:val="00A20CDE"/>
    <w:rsid w:val="00A20CFE"/>
    <w:rsid w:val="00A213AE"/>
    <w:rsid w:val="00A21419"/>
    <w:rsid w:val="00A21A69"/>
    <w:rsid w:val="00A21F4C"/>
    <w:rsid w:val="00A21F8E"/>
    <w:rsid w:val="00A230B4"/>
    <w:rsid w:val="00A23F90"/>
    <w:rsid w:val="00A25464"/>
    <w:rsid w:val="00A2725E"/>
    <w:rsid w:val="00A27474"/>
    <w:rsid w:val="00A300FC"/>
    <w:rsid w:val="00A3087E"/>
    <w:rsid w:val="00A30E4D"/>
    <w:rsid w:val="00A319AC"/>
    <w:rsid w:val="00A3256B"/>
    <w:rsid w:val="00A333FD"/>
    <w:rsid w:val="00A345A2"/>
    <w:rsid w:val="00A34628"/>
    <w:rsid w:val="00A356A4"/>
    <w:rsid w:val="00A35F1D"/>
    <w:rsid w:val="00A35FA9"/>
    <w:rsid w:val="00A35FBC"/>
    <w:rsid w:val="00A369C9"/>
    <w:rsid w:val="00A36DA4"/>
    <w:rsid w:val="00A3711A"/>
    <w:rsid w:val="00A373A3"/>
    <w:rsid w:val="00A412EB"/>
    <w:rsid w:val="00A413FD"/>
    <w:rsid w:val="00A416C2"/>
    <w:rsid w:val="00A42615"/>
    <w:rsid w:val="00A43178"/>
    <w:rsid w:val="00A433D6"/>
    <w:rsid w:val="00A451E4"/>
    <w:rsid w:val="00A45371"/>
    <w:rsid w:val="00A45679"/>
    <w:rsid w:val="00A46205"/>
    <w:rsid w:val="00A46A49"/>
    <w:rsid w:val="00A46B79"/>
    <w:rsid w:val="00A46E49"/>
    <w:rsid w:val="00A471CB"/>
    <w:rsid w:val="00A501BF"/>
    <w:rsid w:val="00A50273"/>
    <w:rsid w:val="00A50E29"/>
    <w:rsid w:val="00A51EBB"/>
    <w:rsid w:val="00A52C21"/>
    <w:rsid w:val="00A53BDB"/>
    <w:rsid w:val="00A5466C"/>
    <w:rsid w:val="00A54A5F"/>
    <w:rsid w:val="00A5591E"/>
    <w:rsid w:val="00A602A2"/>
    <w:rsid w:val="00A6275E"/>
    <w:rsid w:val="00A62C76"/>
    <w:rsid w:val="00A633A7"/>
    <w:rsid w:val="00A635DF"/>
    <w:rsid w:val="00A6373B"/>
    <w:rsid w:val="00A63B57"/>
    <w:rsid w:val="00A64390"/>
    <w:rsid w:val="00A64829"/>
    <w:rsid w:val="00A64F82"/>
    <w:rsid w:val="00A65389"/>
    <w:rsid w:val="00A65E39"/>
    <w:rsid w:val="00A6627E"/>
    <w:rsid w:val="00A67AAA"/>
    <w:rsid w:val="00A67B28"/>
    <w:rsid w:val="00A70540"/>
    <w:rsid w:val="00A715E1"/>
    <w:rsid w:val="00A72FBD"/>
    <w:rsid w:val="00A7535A"/>
    <w:rsid w:val="00A7561B"/>
    <w:rsid w:val="00A76575"/>
    <w:rsid w:val="00A801DA"/>
    <w:rsid w:val="00A80D52"/>
    <w:rsid w:val="00A8130A"/>
    <w:rsid w:val="00A81327"/>
    <w:rsid w:val="00A81801"/>
    <w:rsid w:val="00A84B1F"/>
    <w:rsid w:val="00A85120"/>
    <w:rsid w:val="00A86025"/>
    <w:rsid w:val="00A86377"/>
    <w:rsid w:val="00A868E3"/>
    <w:rsid w:val="00A86A72"/>
    <w:rsid w:val="00A87306"/>
    <w:rsid w:val="00A90D77"/>
    <w:rsid w:val="00A91CF2"/>
    <w:rsid w:val="00A9216A"/>
    <w:rsid w:val="00A92893"/>
    <w:rsid w:val="00A93E5B"/>
    <w:rsid w:val="00A9582D"/>
    <w:rsid w:val="00A97A35"/>
    <w:rsid w:val="00AA085F"/>
    <w:rsid w:val="00AA0D03"/>
    <w:rsid w:val="00AA16F6"/>
    <w:rsid w:val="00AA1C5E"/>
    <w:rsid w:val="00AA272E"/>
    <w:rsid w:val="00AA3142"/>
    <w:rsid w:val="00AA4637"/>
    <w:rsid w:val="00AA4BAE"/>
    <w:rsid w:val="00AA52F5"/>
    <w:rsid w:val="00AA65D2"/>
    <w:rsid w:val="00AA76DB"/>
    <w:rsid w:val="00AA7F45"/>
    <w:rsid w:val="00AB04A9"/>
    <w:rsid w:val="00AB0BD7"/>
    <w:rsid w:val="00AB0EAB"/>
    <w:rsid w:val="00AB1FCE"/>
    <w:rsid w:val="00AB2318"/>
    <w:rsid w:val="00AB2423"/>
    <w:rsid w:val="00AB2DD4"/>
    <w:rsid w:val="00AB3566"/>
    <w:rsid w:val="00AB366C"/>
    <w:rsid w:val="00AB3742"/>
    <w:rsid w:val="00AB4787"/>
    <w:rsid w:val="00AB4A70"/>
    <w:rsid w:val="00AB54F6"/>
    <w:rsid w:val="00AB5FF2"/>
    <w:rsid w:val="00AB62CE"/>
    <w:rsid w:val="00AB640C"/>
    <w:rsid w:val="00AB65BD"/>
    <w:rsid w:val="00AB715D"/>
    <w:rsid w:val="00AB74D0"/>
    <w:rsid w:val="00AB7C76"/>
    <w:rsid w:val="00AC191F"/>
    <w:rsid w:val="00AC1AE5"/>
    <w:rsid w:val="00AC28B1"/>
    <w:rsid w:val="00AC30D4"/>
    <w:rsid w:val="00AC3478"/>
    <w:rsid w:val="00AC35EB"/>
    <w:rsid w:val="00AC486F"/>
    <w:rsid w:val="00AC6964"/>
    <w:rsid w:val="00AC6D02"/>
    <w:rsid w:val="00AC7396"/>
    <w:rsid w:val="00AD0BA9"/>
    <w:rsid w:val="00AD1029"/>
    <w:rsid w:val="00AD1D48"/>
    <w:rsid w:val="00AD2F31"/>
    <w:rsid w:val="00AD39BB"/>
    <w:rsid w:val="00AD6219"/>
    <w:rsid w:val="00AD6FEA"/>
    <w:rsid w:val="00AD7072"/>
    <w:rsid w:val="00AD7638"/>
    <w:rsid w:val="00AE0022"/>
    <w:rsid w:val="00AE0E02"/>
    <w:rsid w:val="00AE1C23"/>
    <w:rsid w:val="00AE28F5"/>
    <w:rsid w:val="00AE2E6F"/>
    <w:rsid w:val="00AE3185"/>
    <w:rsid w:val="00AE36C5"/>
    <w:rsid w:val="00AE67FF"/>
    <w:rsid w:val="00AE6C26"/>
    <w:rsid w:val="00AE72D9"/>
    <w:rsid w:val="00AE7FDC"/>
    <w:rsid w:val="00AF1045"/>
    <w:rsid w:val="00AF159B"/>
    <w:rsid w:val="00AF18B6"/>
    <w:rsid w:val="00AF2095"/>
    <w:rsid w:val="00AF221A"/>
    <w:rsid w:val="00AF366F"/>
    <w:rsid w:val="00AF4479"/>
    <w:rsid w:val="00AF588E"/>
    <w:rsid w:val="00AF5969"/>
    <w:rsid w:val="00AF5CBE"/>
    <w:rsid w:val="00AF67D2"/>
    <w:rsid w:val="00AF68D5"/>
    <w:rsid w:val="00AF7E8B"/>
    <w:rsid w:val="00AF7F22"/>
    <w:rsid w:val="00B00894"/>
    <w:rsid w:val="00B00DE5"/>
    <w:rsid w:val="00B02A04"/>
    <w:rsid w:val="00B032F5"/>
    <w:rsid w:val="00B03618"/>
    <w:rsid w:val="00B03880"/>
    <w:rsid w:val="00B03ACF"/>
    <w:rsid w:val="00B0433A"/>
    <w:rsid w:val="00B051A6"/>
    <w:rsid w:val="00B05433"/>
    <w:rsid w:val="00B05552"/>
    <w:rsid w:val="00B06BA9"/>
    <w:rsid w:val="00B06BD7"/>
    <w:rsid w:val="00B104E4"/>
    <w:rsid w:val="00B10D5E"/>
    <w:rsid w:val="00B113F1"/>
    <w:rsid w:val="00B118DF"/>
    <w:rsid w:val="00B12C7C"/>
    <w:rsid w:val="00B13120"/>
    <w:rsid w:val="00B13466"/>
    <w:rsid w:val="00B1459E"/>
    <w:rsid w:val="00B1477C"/>
    <w:rsid w:val="00B157B4"/>
    <w:rsid w:val="00B1584C"/>
    <w:rsid w:val="00B1668C"/>
    <w:rsid w:val="00B16734"/>
    <w:rsid w:val="00B16AC5"/>
    <w:rsid w:val="00B16ACB"/>
    <w:rsid w:val="00B177F6"/>
    <w:rsid w:val="00B2050C"/>
    <w:rsid w:val="00B2070C"/>
    <w:rsid w:val="00B221AE"/>
    <w:rsid w:val="00B22C05"/>
    <w:rsid w:val="00B244B7"/>
    <w:rsid w:val="00B24901"/>
    <w:rsid w:val="00B25380"/>
    <w:rsid w:val="00B26D21"/>
    <w:rsid w:val="00B2781B"/>
    <w:rsid w:val="00B30826"/>
    <w:rsid w:val="00B30D0F"/>
    <w:rsid w:val="00B33282"/>
    <w:rsid w:val="00B335BB"/>
    <w:rsid w:val="00B3424D"/>
    <w:rsid w:val="00B34592"/>
    <w:rsid w:val="00B34A13"/>
    <w:rsid w:val="00B357E5"/>
    <w:rsid w:val="00B357EE"/>
    <w:rsid w:val="00B36FF7"/>
    <w:rsid w:val="00B371AA"/>
    <w:rsid w:val="00B37415"/>
    <w:rsid w:val="00B3791B"/>
    <w:rsid w:val="00B37B93"/>
    <w:rsid w:val="00B37E68"/>
    <w:rsid w:val="00B40953"/>
    <w:rsid w:val="00B41178"/>
    <w:rsid w:val="00B41BC8"/>
    <w:rsid w:val="00B42CB9"/>
    <w:rsid w:val="00B42D86"/>
    <w:rsid w:val="00B43015"/>
    <w:rsid w:val="00B431DE"/>
    <w:rsid w:val="00B43637"/>
    <w:rsid w:val="00B46E84"/>
    <w:rsid w:val="00B47E1A"/>
    <w:rsid w:val="00B503FF"/>
    <w:rsid w:val="00B5064D"/>
    <w:rsid w:val="00B50999"/>
    <w:rsid w:val="00B50B81"/>
    <w:rsid w:val="00B50E0D"/>
    <w:rsid w:val="00B5312F"/>
    <w:rsid w:val="00B5367F"/>
    <w:rsid w:val="00B539B9"/>
    <w:rsid w:val="00B54EEF"/>
    <w:rsid w:val="00B55026"/>
    <w:rsid w:val="00B555AC"/>
    <w:rsid w:val="00B55B2A"/>
    <w:rsid w:val="00B564C3"/>
    <w:rsid w:val="00B609A4"/>
    <w:rsid w:val="00B61252"/>
    <w:rsid w:val="00B61DB6"/>
    <w:rsid w:val="00B624DF"/>
    <w:rsid w:val="00B62C6E"/>
    <w:rsid w:val="00B636FD"/>
    <w:rsid w:val="00B63E89"/>
    <w:rsid w:val="00B64EC4"/>
    <w:rsid w:val="00B654BF"/>
    <w:rsid w:val="00B65920"/>
    <w:rsid w:val="00B65CB9"/>
    <w:rsid w:val="00B665E1"/>
    <w:rsid w:val="00B66B81"/>
    <w:rsid w:val="00B705B8"/>
    <w:rsid w:val="00B70ED4"/>
    <w:rsid w:val="00B71323"/>
    <w:rsid w:val="00B71E18"/>
    <w:rsid w:val="00B725FE"/>
    <w:rsid w:val="00B7432E"/>
    <w:rsid w:val="00B750AE"/>
    <w:rsid w:val="00B750CC"/>
    <w:rsid w:val="00B770F0"/>
    <w:rsid w:val="00B77B95"/>
    <w:rsid w:val="00B80753"/>
    <w:rsid w:val="00B80BFE"/>
    <w:rsid w:val="00B81085"/>
    <w:rsid w:val="00B8662B"/>
    <w:rsid w:val="00B87854"/>
    <w:rsid w:val="00B91D05"/>
    <w:rsid w:val="00B93376"/>
    <w:rsid w:val="00B941D8"/>
    <w:rsid w:val="00B94748"/>
    <w:rsid w:val="00B9494D"/>
    <w:rsid w:val="00B954C2"/>
    <w:rsid w:val="00B96256"/>
    <w:rsid w:val="00B966E8"/>
    <w:rsid w:val="00B96A74"/>
    <w:rsid w:val="00B96E88"/>
    <w:rsid w:val="00B977FF"/>
    <w:rsid w:val="00BA0A51"/>
    <w:rsid w:val="00BA1259"/>
    <w:rsid w:val="00BA26C2"/>
    <w:rsid w:val="00BA30D3"/>
    <w:rsid w:val="00BA4750"/>
    <w:rsid w:val="00BA4A84"/>
    <w:rsid w:val="00BA4B79"/>
    <w:rsid w:val="00BA51E0"/>
    <w:rsid w:val="00BA6112"/>
    <w:rsid w:val="00BA657F"/>
    <w:rsid w:val="00BA7E6B"/>
    <w:rsid w:val="00BB02B1"/>
    <w:rsid w:val="00BB1E6A"/>
    <w:rsid w:val="00BB260C"/>
    <w:rsid w:val="00BB2652"/>
    <w:rsid w:val="00BB431F"/>
    <w:rsid w:val="00BB4D74"/>
    <w:rsid w:val="00BB5D31"/>
    <w:rsid w:val="00BB6A82"/>
    <w:rsid w:val="00BB752C"/>
    <w:rsid w:val="00BB7DA9"/>
    <w:rsid w:val="00BC022E"/>
    <w:rsid w:val="00BC04E6"/>
    <w:rsid w:val="00BC1D11"/>
    <w:rsid w:val="00BC35FA"/>
    <w:rsid w:val="00BC4283"/>
    <w:rsid w:val="00BC4BF0"/>
    <w:rsid w:val="00BC5317"/>
    <w:rsid w:val="00BC617C"/>
    <w:rsid w:val="00BC699C"/>
    <w:rsid w:val="00BC69E4"/>
    <w:rsid w:val="00BC6B67"/>
    <w:rsid w:val="00BC7C7A"/>
    <w:rsid w:val="00BD0A1B"/>
    <w:rsid w:val="00BD1523"/>
    <w:rsid w:val="00BD2553"/>
    <w:rsid w:val="00BD2B96"/>
    <w:rsid w:val="00BD2F0A"/>
    <w:rsid w:val="00BD34F7"/>
    <w:rsid w:val="00BD3964"/>
    <w:rsid w:val="00BD4158"/>
    <w:rsid w:val="00BD4E16"/>
    <w:rsid w:val="00BD53A9"/>
    <w:rsid w:val="00BD6811"/>
    <w:rsid w:val="00BD7072"/>
    <w:rsid w:val="00BE064E"/>
    <w:rsid w:val="00BE0C28"/>
    <w:rsid w:val="00BE1A48"/>
    <w:rsid w:val="00BE2876"/>
    <w:rsid w:val="00BE43EA"/>
    <w:rsid w:val="00BE4596"/>
    <w:rsid w:val="00BE4A9D"/>
    <w:rsid w:val="00BE6FED"/>
    <w:rsid w:val="00BF069F"/>
    <w:rsid w:val="00BF099D"/>
    <w:rsid w:val="00BF0C2B"/>
    <w:rsid w:val="00BF15B9"/>
    <w:rsid w:val="00BF1F07"/>
    <w:rsid w:val="00BF27B0"/>
    <w:rsid w:val="00BF32F2"/>
    <w:rsid w:val="00BF3F5F"/>
    <w:rsid w:val="00BF578E"/>
    <w:rsid w:val="00BF5A9D"/>
    <w:rsid w:val="00BF6ED3"/>
    <w:rsid w:val="00BF6F99"/>
    <w:rsid w:val="00C01344"/>
    <w:rsid w:val="00C021FE"/>
    <w:rsid w:val="00C023A1"/>
    <w:rsid w:val="00C0260D"/>
    <w:rsid w:val="00C028A6"/>
    <w:rsid w:val="00C0343F"/>
    <w:rsid w:val="00C046BF"/>
    <w:rsid w:val="00C04AFC"/>
    <w:rsid w:val="00C05315"/>
    <w:rsid w:val="00C05AC4"/>
    <w:rsid w:val="00C10242"/>
    <w:rsid w:val="00C10A23"/>
    <w:rsid w:val="00C10AE1"/>
    <w:rsid w:val="00C10CEE"/>
    <w:rsid w:val="00C11E0A"/>
    <w:rsid w:val="00C12345"/>
    <w:rsid w:val="00C12B14"/>
    <w:rsid w:val="00C13550"/>
    <w:rsid w:val="00C13716"/>
    <w:rsid w:val="00C13A5D"/>
    <w:rsid w:val="00C1420E"/>
    <w:rsid w:val="00C16065"/>
    <w:rsid w:val="00C1631B"/>
    <w:rsid w:val="00C164E9"/>
    <w:rsid w:val="00C16F16"/>
    <w:rsid w:val="00C1726F"/>
    <w:rsid w:val="00C2101F"/>
    <w:rsid w:val="00C214FC"/>
    <w:rsid w:val="00C22A51"/>
    <w:rsid w:val="00C23424"/>
    <w:rsid w:val="00C23A52"/>
    <w:rsid w:val="00C240E8"/>
    <w:rsid w:val="00C2486E"/>
    <w:rsid w:val="00C251AB"/>
    <w:rsid w:val="00C25BC2"/>
    <w:rsid w:val="00C2673D"/>
    <w:rsid w:val="00C26873"/>
    <w:rsid w:val="00C26E36"/>
    <w:rsid w:val="00C3100C"/>
    <w:rsid w:val="00C31F9F"/>
    <w:rsid w:val="00C33046"/>
    <w:rsid w:val="00C330EC"/>
    <w:rsid w:val="00C34C3C"/>
    <w:rsid w:val="00C3622B"/>
    <w:rsid w:val="00C36264"/>
    <w:rsid w:val="00C36F6B"/>
    <w:rsid w:val="00C400EC"/>
    <w:rsid w:val="00C41929"/>
    <w:rsid w:val="00C42297"/>
    <w:rsid w:val="00C427C9"/>
    <w:rsid w:val="00C42FA5"/>
    <w:rsid w:val="00C44357"/>
    <w:rsid w:val="00C4461B"/>
    <w:rsid w:val="00C45BDF"/>
    <w:rsid w:val="00C462FF"/>
    <w:rsid w:val="00C463E3"/>
    <w:rsid w:val="00C47230"/>
    <w:rsid w:val="00C47B99"/>
    <w:rsid w:val="00C47EB6"/>
    <w:rsid w:val="00C51202"/>
    <w:rsid w:val="00C519FF"/>
    <w:rsid w:val="00C51CBB"/>
    <w:rsid w:val="00C5316C"/>
    <w:rsid w:val="00C5434A"/>
    <w:rsid w:val="00C55CA0"/>
    <w:rsid w:val="00C568E5"/>
    <w:rsid w:val="00C576A2"/>
    <w:rsid w:val="00C622EF"/>
    <w:rsid w:val="00C628D0"/>
    <w:rsid w:val="00C63846"/>
    <w:rsid w:val="00C63B13"/>
    <w:rsid w:val="00C640B3"/>
    <w:rsid w:val="00C64A93"/>
    <w:rsid w:val="00C65A6A"/>
    <w:rsid w:val="00C65C8C"/>
    <w:rsid w:val="00C662A6"/>
    <w:rsid w:val="00C6653F"/>
    <w:rsid w:val="00C669A9"/>
    <w:rsid w:val="00C67DED"/>
    <w:rsid w:val="00C67FA7"/>
    <w:rsid w:val="00C70B95"/>
    <w:rsid w:val="00C71342"/>
    <w:rsid w:val="00C7499F"/>
    <w:rsid w:val="00C74C5D"/>
    <w:rsid w:val="00C7640C"/>
    <w:rsid w:val="00C7753C"/>
    <w:rsid w:val="00C8167B"/>
    <w:rsid w:val="00C82A5C"/>
    <w:rsid w:val="00C82BE9"/>
    <w:rsid w:val="00C82DD7"/>
    <w:rsid w:val="00C83214"/>
    <w:rsid w:val="00C8347D"/>
    <w:rsid w:val="00C837CF"/>
    <w:rsid w:val="00C864DF"/>
    <w:rsid w:val="00C8698A"/>
    <w:rsid w:val="00C9041E"/>
    <w:rsid w:val="00C91220"/>
    <w:rsid w:val="00C916EC"/>
    <w:rsid w:val="00C923B7"/>
    <w:rsid w:val="00C92B7F"/>
    <w:rsid w:val="00C937D9"/>
    <w:rsid w:val="00C95115"/>
    <w:rsid w:val="00C95E78"/>
    <w:rsid w:val="00C973C4"/>
    <w:rsid w:val="00C97551"/>
    <w:rsid w:val="00C976C1"/>
    <w:rsid w:val="00C97CD6"/>
    <w:rsid w:val="00C97FFE"/>
    <w:rsid w:val="00CA0886"/>
    <w:rsid w:val="00CA0EEE"/>
    <w:rsid w:val="00CA1FFF"/>
    <w:rsid w:val="00CA346F"/>
    <w:rsid w:val="00CA34B8"/>
    <w:rsid w:val="00CA3846"/>
    <w:rsid w:val="00CA4409"/>
    <w:rsid w:val="00CA4E53"/>
    <w:rsid w:val="00CA54C6"/>
    <w:rsid w:val="00CA68EC"/>
    <w:rsid w:val="00CB0B35"/>
    <w:rsid w:val="00CB1E3D"/>
    <w:rsid w:val="00CB2B82"/>
    <w:rsid w:val="00CB2F3D"/>
    <w:rsid w:val="00CB418F"/>
    <w:rsid w:val="00CB5437"/>
    <w:rsid w:val="00CB5B59"/>
    <w:rsid w:val="00CB69D6"/>
    <w:rsid w:val="00CB6FE2"/>
    <w:rsid w:val="00CB725B"/>
    <w:rsid w:val="00CB72D9"/>
    <w:rsid w:val="00CC24F9"/>
    <w:rsid w:val="00CC261D"/>
    <w:rsid w:val="00CC33E2"/>
    <w:rsid w:val="00CC3987"/>
    <w:rsid w:val="00CC4EB4"/>
    <w:rsid w:val="00CC56C3"/>
    <w:rsid w:val="00CC5A88"/>
    <w:rsid w:val="00CC5FD0"/>
    <w:rsid w:val="00CC625F"/>
    <w:rsid w:val="00CC793E"/>
    <w:rsid w:val="00CD1CD0"/>
    <w:rsid w:val="00CD251A"/>
    <w:rsid w:val="00CD2889"/>
    <w:rsid w:val="00CD2ECA"/>
    <w:rsid w:val="00CD3787"/>
    <w:rsid w:val="00CD4719"/>
    <w:rsid w:val="00CD476D"/>
    <w:rsid w:val="00CD4898"/>
    <w:rsid w:val="00CD49A5"/>
    <w:rsid w:val="00CD4A95"/>
    <w:rsid w:val="00CD62E9"/>
    <w:rsid w:val="00CD73F3"/>
    <w:rsid w:val="00CD78A1"/>
    <w:rsid w:val="00CE0CB8"/>
    <w:rsid w:val="00CE200E"/>
    <w:rsid w:val="00CE27CC"/>
    <w:rsid w:val="00CE3212"/>
    <w:rsid w:val="00CE45B0"/>
    <w:rsid w:val="00CE4AAC"/>
    <w:rsid w:val="00CE4DC4"/>
    <w:rsid w:val="00CE63C0"/>
    <w:rsid w:val="00CE6579"/>
    <w:rsid w:val="00CE6656"/>
    <w:rsid w:val="00CE6663"/>
    <w:rsid w:val="00CE6BDE"/>
    <w:rsid w:val="00CE728C"/>
    <w:rsid w:val="00CE7DB6"/>
    <w:rsid w:val="00CF02A7"/>
    <w:rsid w:val="00CF182A"/>
    <w:rsid w:val="00CF3BEA"/>
    <w:rsid w:val="00CF3FCA"/>
    <w:rsid w:val="00CF4BBB"/>
    <w:rsid w:val="00CF5C1D"/>
    <w:rsid w:val="00CF5F89"/>
    <w:rsid w:val="00CF624A"/>
    <w:rsid w:val="00CF784A"/>
    <w:rsid w:val="00CF7F4B"/>
    <w:rsid w:val="00D00486"/>
    <w:rsid w:val="00D00E0B"/>
    <w:rsid w:val="00D00FC0"/>
    <w:rsid w:val="00D0223C"/>
    <w:rsid w:val="00D03240"/>
    <w:rsid w:val="00D039EA"/>
    <w:rsid w:val="00D04030"/>
    <w:rsid w:val="00D04A75"/>
    <w:rsid w:val="00D04BB8"/>
    <w:rsid w:val="00D04EAA"/>
    <w:rsid w:val="00D0549B"/>
    <w:rsid w:val="00D05F82"/>
    <w:rsid w:val="00D06804"/>
    <w:rsid w:val="00D10553"/>
    <w:rsid w:val="00D10FEE"/>
    <w:rsid w:val="00D116EA"/>
    <w:rsid w:val="00D11C9D"/>
    <w:rsid w:val="00D12010"/>
    <w:rsid w:val="00D1219B"/>
    <w:rsid w:val="00D1269D"/>
    <w:rsid w:val="00D12AA1"/>
    <w:rsid w:val="00D130FA"/>
    <w:rsid w:val="00D14EEA"/>
    <w:rsid w:val="00D158DE"/>
    <w:rsid w:val="00D17174"/>
    <w:rsid w:val="00D17F31"/>
    <w:rsid w:val="00D17F5F"/>
    <w:rsid w:val="00D215F0"/>
    <w:rsid w:val="00D2379F"/>
    <w:rsid w:val="00D23EC7"/>
    <w:rsid w:val="00D246BF"/>
    <w:rsid w:val="00D265EC"/>
    <w:rsid w:val="00D26DF9"/>
    <w:rsid w:val="00D26EC3"/>
    <w:rsid w:val="00D27323"/>
    <w:rsid w:val="00D276F3"/>
    <w:rsid w:val="00D30A03"/>
    <w:rsid w:val="00D31366"/>
    <w:rsid w:val="00D31D2B"/>
    <w:rsid w:val="00D32959"/>
    <w:rsid w:val="00D336BD"/>
    <w:rsid w:val="00D34061"/>
    <w:rsid w:val="00D343CA"/>
    <w:rsid w:val="00D35229"/>
    <w:rsid w:val="00D36C27"/>
    <w:rsid w:val="00D378B2"/>
    <w:rsid w:val="00D4079F"/>
    <w:rsid w:val="00D40D8B"/>
    <w:rsid w:val="00D412A9"/>
    <w:rsid w:val="00D41DC3"/>
    <w:rsid w:val="00D42901"/>
    <w:rsid w:val="00D429AE"/>
    <w:rsid w:val="00D42A75"/>
    <w:rsid w:val="00D42F77"/>
    <w:rsid w:val="00D4363C"/>
    <w:rsid w:val="00D43B3D"/>
    <w:rsid w:val="00D447E7"/>
    <w:rsid w:val="00D4531F"/>
    <w:rsid w:val="00D47D34"/>
    <w:rsid w:val="00D5025F"/>
    <w:rsid w:val="00D50751"/>
    <w:rsid w:val="00D5133E"/>
    <w:rsid w:val="00D51453"/>
    <w:rsid w:val="00D5174A"/>
    <w:rsid w:val="00D52440"/>
    <w:rsid w:val="00D53983"/>
    <w:rsid w:val="00D542C7"/>
    <w:rsid w:val="00D54E3C"/>
    <w:rsid w:val="00D56C38"/>
    <w:rsid w:val="00D57CDC"/>
    <w:rsid w:val="00D606B1"/>
    <w:rsid w:val="00D60E19"/>
    <w:rsid w:val="00D62D1E"/>
    <w:rsid w:val="00D630FF"/>
    <w:rsid w:val="00D642F7"/>
    <w:rsid w:val="00D65A04"/>
    <w:rsid w:val="00D65F7F"/>
    <w:rsid w:val="00D66CC3"/>
    <w:rsid w:val="00D6740F"/>
    <w:rsid w:val="00D67FE2"/>
    <w:rsid w:val="00D70895"/>
    <w:rsid w:val="00D7094B"/>
    <w:rsid w:val="00D727F5"/>
    <w:rsid w:val="00D73019"/>
    <w:rsid w:val="00D73242"/>
    <w:rsid w:val="00D733D9"/>
    <w:rsid w:val="00D7579A"/>
    <w:rsid w:val="00D765EF"/>
    <w:rsid w:val="00D778D1"/>
    <w:rsid w:val="00D80A1D"/>
    <w:rsid w:val="00D80D90"/>
    <w:rsid w:val="00D8276A"/>
    <w:rsid w:val="00D829F7"/>
    <w:rsid w:val="00D82E9A"/>
    <w:rsid w:val="00D83517"/>
    <w:rsid w:val="00D86324"/>
    <w:rsid w:val="00D87005"/>
    <w:rsid w:val="00D87006"/>
    <w:rsid w:val="00D90550"/>
    <w:rsid w:val="00D906AE"/>
    <w:rsid w:val="00D90B04"/>
    <w:rsid w:val="00D9271D"/>
    <w:rsid w:val="00D92F2E"/>
    <w:rsid w:val="00D93288"/>
    <w:rsid w:val="00D9430B"/>
    <w:rsid w:val="00D95984"/>
    <w:rsid w:val="00D95AC8"/>
    <w:rsid w:val="00D9607F"/>
    <w:rsid w:val="00DA0A51"/>
    <w:rsid w:val="00DA0AEB"/>
    <w:rsid w:val="00DA2F06"/>
    <w:rsid w:val="00DA30B1"/>
    <w:rsid w:val="00DA34B6"/>
    <w:rsid w:val="00DA3824"/>
    <w:rsid w:val="00DA3A79"/>
    <w:rsid w:val="00DA42C0"/>
    <w:rsid w:val="00DA448B"/>
    <w:rsid w:val="00DA4711"/>
    <w:rsid w:val="00DA523A"/>
    <w:rsid w:val="00DA5846"/>
    <w:rsid w:val="00DA5B5C"/>
    <w:rsid w:val="00DA6036"/>
    <w:rsid w:val="00DA75F5"/>
    <w:rsid w:val="00DB08C7"/>
    <w:rsid w:val="00DB0D12"/>
    <w:rsid w:val="00DB1FF9"/>
    <w:rsid w:val="00DB21CA"/>
    <w:rsid w:val="00DB36D1"/>
    <w:rsid w:val="00DB3EB6"/>
    <w:rsid w:val="00DB4264"/>
    <w:rsid w:val="00DB482E"/>
    <w:rsid w:val="00DB4EA2"/>
    <w:rsid w:val="00DB6016"/>
    <w:rsid w:val="00DB6D40"/>
    <w:rsid w:val="00DB7689"/>
    <w:rsid w:val="00DC0512"/>
    <w:rsid w:val="00DC0B4F"/>
    <w:rsid w:val="00DC1A7D"/>
    <w:rsid w:val="00DC1CCC"/>
    <w:rsid w:val="00DC3369"/>
    <w:rsid w:val="00DC3692"/>
    <w:rsid w:val="00DC3723"/>
    <w:rsid w:val="00DC3EB5"/>
    <w:rsid w:val="00DC50A0"/>
    <w:rsid w:val="00DC51C0"/>
    <w:rsid w:val="00DC63BB"/>
    <w:rsid w:val="00DC6E8B"/>
    <w:rsid w:val="00DC6EE3"/>
    <w:rsid w:val="00DC7E4A"/>
    <w:rsid w:val="00DD0148"/>
    <w:rsid w:val="00DD0580"/>
    <w:rsid w:val="00DD09C5"/>
    <w:rsid w:val="00DD14D2"/>
    <w:rsid w:val="00DD1776"/>
    <w:rsid w:val="00DD2519"/>
    <w:rsid w:val="00DD29B6"/>
    <w:rsid w:val="00DD37E1"/>
    <w:rsid w:val="00DD47D8"/>
    <w:rsid w:val="00DD54EF"/>
    <w:rsid w:val="00DD6CCD"/>
    <w:rsid w:val="00DD6DBF"/>
    <w:rsid w:val="00DD6F3B"/>
    <w:rsid w:val="00DD7121"/>
    <w:rsid w:val="00DD71A6"/>
    <w:rsid w:val="00DD7C25"/>
    <w:rsid w:val="00DD7F43"/>
    <w:rsid w:val="00DE03B9"/>
    <w:rsid w:val="00DE0810"/>
    <w:rsid w:val="00DE090F"/>
    <w:rsid w:val="00DE16DA"/>
    <w:rsid w:val="00DE1AFF"/>
    <w:rsid w:val="00DE1B57"/>
    <w:rsid w:val="00DE1D0F"/>
    <w:rsid w:val="00DE24CC"/>
    <w:rsid w:val="00DE34C5"/>
    <w:rsid w:val="00DE3AAA"/>
    <w:rsid w:val="00DE3D70"/>
    <w:rsid w:val="00DE431D"/>
    <w:rsid w:val="00DE440F"/>
    <w:rsid w:val="00DE4C30"/>
    <w:rsid w:val="00DE5A35"/>
    <w:rsid w:val="00DE5B4D"/>
    <w:rsid w:val="00DE7330"/>
    <w:rsid w:val="00DE7495"/>
    <w:rsid w:val="00DE7896"/>
    <w:rsid w:val="00DE7B42"/>
    <w:rsid w:val="00DE7D2F"/>
    <w:rsid w:val="00DF010B"/>
    <w:rsid w:val="00DF031C"/>
    <w:rsid w:val="00DF03A1"/>
    <w:rsid w:val="00DF067C"/>
    <w:rsid w:val="00DF08B0"/>
    <w:rsid w:val="00DF2CDB"/>
    <w:rsid w:val="00DF3ECF"/>
    <w:rsid w:val="00DF5174"/>
    <w:rsid w:val="00DF52AE"/>
    <w:rsid w:val="00DF5B7A"/>
    <w:rsid w:val="00DF5B87"/>
    <w:rsid w:val="00DF5E67"/>
    <w:rsid w:val="00DF5E8F"/>
    <w:rsid w:val="00DF66CC"/>
    <w:rsid w:val="00DF70FF"/>
    <w:rsid w:val="00E005F7"/>
    <w:rsid w:val="00E01522"/>
    <w:rsid w:val="00E01670"/>
    <w:rsid w:val="00E01CE8"/>
    <w:rsid w:val="00E01E19"/>
    <w:rsid w:val="00E02160"/>
    <w:rsid w:val="00E037D5"/>
    <w:rsid w:val="00E04EDA"/>
    <w:rsid w:val="00E06066"/>
    <w:rsid w:val="00E06477"/>
    <w:rsid w:val="00E10092"/>
    <w:rsid w:val="00E10541"/>
    <w:rsid w:val="00E10F3F"/>
    <w:rsid w:val="00E11A88"/>
    <w:rsid w:val="00E12725"/>
    <w:rsid w:val="00E137DA"/>
    <w:rsid w:val="00E145B7"/>
    <w:rsid w:val="00E1469B"/>
    <w:rsid w:val="00E15558"/>
    <w:rsid w:val="00E161D8"/>
    <w:rsid w:val="00E16351"/>
    <w:rsid w:val="00E169AA"/>
    <w:rsid w:val="00E175C3"/>
    <w:rsid w:val="00E204E9"/>
    <w:rsid w:val="00E205EF"/>
    <w:rsid w:val="00E20F8E"/>
    <w:rsid w:val="00E2179F"/>
    <w:rsid w:val="00E21E85"/>
    <w:rsid w:val="00E22333"/>
    <w:rsid w:val="00E2272B"/>
    <w:rsid w:val="00E227C3"/>
    <w:rsid w:val="00E22F81"/>
    <w:rsid w:val="00E23DD9"/>
    <w:rsid w:val="00E24448"/>
    <w:rsid w:val="00E24C14"/>
    <w:rsid w:val="00E255C9"/>
    <w:rsid w:val="00E26230"/>
    <w:rsid w:val="00E263C6"/>
    <w:rsid w:val="00E26583"/>
    <w:rsid w:val="00E275C4"/>
    <w:rsid w:val="00E308FA"/>
    <w:rsid w:val="00E3115A"/>
    <w:rsid w:val="00E31174"/>
    <w:rsid w:val="00E31675"/>
    <w:rsid w:val="00E31C49"/>
    <w:rsid w:val="00E32C31"/>
    <w:rsid w:val="00E33C98"/>
    <w:rsid w:val="00E343AB"/>
    <w:rsid w:val="00E365F2"/>
    <w:rsid w:val="00E36F12"/>
    <w:rsid w:val="00E40352"/>
    <w:rsid w:val="00E40C59"/>
    <w:rsid w:val="00E41006"/>
    <w:rsid w:val="00E42098"/>
    <w:rsid w:val="00E42AC3"/>
    <w:rsid w:val="00E45A80"/>
    <w:rsid w:val="00E45EF0"/>
    <w:rsid w:val="00E46BA1"/>
    <w:rsid w:val="00E46DF4"/>
    <w:rsid w:val="00E473A5"/>
    <w:rsid w:val="00E47898"/>
    <w:rsid w:val="00E5004F"/>
    <w:rsid w:val="00E5076B"/>
    <w:rsid w:val="00E509A2"/>
    <w:rsid w:val="00E50F07"/>
    <w:rsid w:val="00E510BE"/>
    <w:rsid w:val="00E51214"/>
    <w:rsid w:val="00E51869"/>
    <w:rsid w:val="00E51EE0"/>
    <w:rsid w:val="00E5281B"/>
    <w:rsid w:val="00E534B8"/>
    <w:rsid w:val="00E53C86"/>
    <w:rsid w:val="00E55347"/>
    <w:rsid w:val="00E556E4"/>
    <w:rsid w:val="00E56F22"/>
    <w:rsid w:val="00E56F4C"/>
    <w:rsid w:val="00E572BE"/>
    <w:rsid w:val="00E574AB"/>
    <w:rsid w:val="00E57816"/>
    <w:rsid w:val="00E60889"/>
    <w:rsid w:val="00E60BBE"/>
    <w:rsid w:val="00E61058"/>
    <w:rsid w:val="00E62102"/>
    <w:rsid w:val="00E62A1F"/>
    <w:rsid w:val="00E648CF"/>
    <w:rsid w:val="00E64B5F"/>
    <w:rsid w:val="00E67D03"/>
    <w:rsid w:val="00E67F74"/>
    <w:rsid w:val="00E70535"/>
    <w:rsid w:val="00E70628"/>
    <w:rsid w:val="00E70A65"/>
    <w:rsid w:val="00E71E40"/>
    <w:rsid w:val="00E726B3"/>
    <w:rsid w:val="00E72C1D"/>
    <w:rsid w:val="00E73A6C"/>
    <w:rsid w:val="00E746D4"/>
    <w:rsid w:val="00E7472E"/>
    <w:rsid w:val="00E74A2E"/>
    <w:rsid w:val="00E75A82"/>
    <w:rsid w:val="00E762DC"/>
    <w:rsid w:val="00E76DF3"/>
    <w:rsid w:val="00E778B7"/>
    <w:rsid w:val="00E80860"/>
    <w:rsid w:val="00E80A36"/>
    <w:rsid w:val="00E829D0"/>
    <w:rsid w:val="00E842E7"/>
    <w:rsid w:val="00E8465B"/>
    <w:rsid w:val="00E846F9"/>
    <w:rsid w:val="00E847D9"/>
    <w:rsid w:val="00E861D4"/>
    <w:rsid w:val="00E8621A"/>
    <w:rsid w:val="00E867CF"/>
    <w:rsid w:val="00E871A1"/>
    <w:rsid w:val="00E90409"/>
    <w:rsid w:val="00E9076D"/>
    <w:rsid w:val="00E90B0F"/>
    <w:rsid w:val="00E91F21"/>
    <w:rsid w:val="00E920F0"/>
    <w:rsid w:val="00E9292F"/>
    <w:rsid w:val="00E93606"/>
    <w:rsid w:val="00E94B21"/>
    <w:rsid w:val="00E9545C"/>
    <w:rsid w:val="00E958B3"/>
    <w:rsid w:val="00E971AB"/>
    <w:rsid w:val="00E974D9"/>
    <w:rsid w:val="00EA0350"/>
    <w:rsid w:val="00EA04C8"/>
    <w:rsid w:val="00EA0D75"/>
    <w:rsid w:val="00EA1788"/>
    <w:rsid w:val="00EA1C91"/>
    <w:rsid w:val="00EA263D"/>
    <w:rsid w:val="00EA4F03"/>
    <w:rsid w:val="00EA5717"/>
    <w:rsid w:val="00EA6121"/>
    <w:rsid w:val="00EB04C0"/>
    <w:rsid w:val="00EB2B7B"/>
    <w:rsid w:val="00EB337D"/>
    <w:rsid w:val="00EB37FC"/>
    <w:rsid w:val="00EB45D8"/>
    <w:rsid w:val="00EB48BE"/>
    <w:rsid w:val="00EB4E99"/>
    <w:rsid w:val="00EB59CC"/>
    <w:rsid w:val="00EB5FA9"/>
    <w:rsid w:val="00EB74A6"/>
    <w:rsid w:val="00EB793E"/>
    <w:rsid w:val="00EC0185"/>
    <w:rsid w:val="00EC0459"/>
    <w:rsid w:val="00EC083F"/>
    <w:rsid w:val="00EC0C6F"/>
    <w:rsid w:val="00EC3B83"/>
    <w:rsid w:val="00EC6B98"/>
    <w:rsid w:val="00EC6FA4"/>
    <w:rsid w:val="00EC7A1E"/>
    <w:rsid w:val="00EC7AE5"/>
    <w:rsid w:val="00ED007B"/>
    <w:rsid w:val="00ED00F4"/>
    <w:rsid w:val="00ED0FC0"/>
    <w:rsid w:val="00ED21A6"/>
    <w:rsid w:val="00ED38FE"/>
    <w:rsid w:val="00ED3C86"/>
    <w:rsid w:val="00ED5642"/>
    <w:rsid w:val="00ED72CF"/>
    <w:rsid w:val="00ED7CEA"/>
    <w:rsid w:val="00EE00BE"/>
    <w:rsid w:val="00EE109C"/>
    <w:rsid w:val="00EE188C"/>
    <w:rsid w:val="00EE1A58"/>
    <w:rsid w:val="00EE3635"/>
    <w:rsid w:val="00EE3C49"/>
    <w:rsid w:val="00EE5611"/>
    <w:rsid w:val="00EE57F3"/>
    <w:rsid w:val="00EE6099"/>
    <w:rsid w:val="00EE6F4C"/>
    <w:rsid w:val="00EE7C84"/>
    <w:rsid w:val="00EE7DAD"/>
    <w:rsid w:val="00EE7EF8"/>
    <w:rsid w:val="00EF04C3"/>
    <w:rsid w:val="00EF0BE2"/>
    <w:rsid w:val="00EF15F9"/>
    <w:rsid w:val="00EF209D"/>
    <w:rsid w:val="00EF26B2"/>
    <w:rsid w:val="00EF2DEB"/>
    <w:rsid w:val="00EF35FA"/>
    <w:rsid w:val="00EF57C9"/>
    <w:rsid w:val="00EF5946"/>
    <w:rsid w:val="00EF5A90"/>
    <w:rsid w:val="00EF5AF4"/>
    <w:rsid w:val="00EF5E4A"/>
    <w:rsid w:val="00EF72D8"/>
    <w:rsid w:val="00F0084B"/>
    <w:rsid w:val="00F00B28"/>
    <w:rsid w:val="00F01576"/>
    <w:rsid w:val="00F01E96"/>
    <w:rsid w:val="00F033A2"/>
    <w:rsid w:val="00F035DB"/>
    <w:rsid w:val="00F0465C"/>
    <w:rsid w:val="00F0577B"/>
    <w:rsid w:val="00F05A6B"/>
    <w:rsid w:val="00F05F56"/>
    <w:rsid w:val="00F0652B"/>
    <w:rsid w:val="00F06D29"/>
    <w:rsid w:val="00F07A8B"/>
    <w:rsid w:val="00F07BF0"/>
    <w:rsid w:val="00F07CEA"/>
    <w:rsid w:val="00F10100"/>
    <w:rsid w:val="00F10DF1"/>
    <w:rsid w:val="00F11303"/>
    <w:rsid w:val="00F1181D"/>
    <w:rsid w:val="00F11EC8"/>
    <w:rsid w:val="00F12506"/>
    <w:rsid w:val="00F130CC"/>
    <w:rsid w:val="00F133C2"/>
    <w:rsid w:val="00F1352B"/>
    <w:rsid w:val="00F13EA2"/>
    <w:rsid w:val="00F1457B"/>
    <w:rsid w:val="00F14F75"/>
    <w:rsid w:val="00F153F5"/>
    <w:rsid w:val="00F15D0E"/>
    <w:rsid w:val="00F16C7B"/>
    <w:rsid w:val="00F16D16"/>
    <w:rsid w:val="00F16FCC"/>
    <w:rsid w:val="00F17022"/>
    <w:rsid w:val="00F200E1"/>
    <w:rsid w:val="00F20511"/>
    <w:rsid w:val="00F20D58"/>
    <w:rsid w:val="00F21DD5"/>
    <w:rsid w:val="00F23623"/>
    <w:rsid w:val="00F259AF"/>
    <w:rsid w:val="00F262F8"/>
    <w:rsid w:val="00F26976"/>
    <w:rsid w:val="00F26D92"/>
    <w:rsid w:val="00F2739C"/>
    <w:rsid w:val="00F27B70"/>
    <w:rsid w:val="00F30A3A"/>
    <w:rsid w:val="00F318B9"/>
    <w:rsid w:val="00F31F3F"/>
    <w:rsid w:val="00F3250D"/>
    <w:rsid w:val="00F3285D"/>
    <w:rsid w:val="00F32D32"/>
    <w:rsid w:val="00F33A0F"/>
    <w:rsid w:val="00F34334"/>
    <w:rsid w:val="00F35BE3"/>
    <w:rsid w:val="00F35D6F"/>
    <w:rsid w:val="00F36532"/>
    <w:rsid w:val="00F3712D"/>
    <w:rsid w:val="00F4254C"/>
    <w:rsid w:val="00F42999"/>
    <w:rsid w:val="00F43155"/>
    <w:rsid w:val="00F43F51"/>
    <w:rsid w:val="00F4489C"/>
    <w:rsid w:val="00F44EAD"/>
    <w:rsid w:val="00F45175"/>
    <w:rsid w:val="00F4609A"/>
    <w:rsid w:val="00F466A9"/>
    <w:rsid w:val="00F50B57"/>
    <w:rsid w:val="00F51517"/>
    <w:rsid w:val="00F5161D"/>
    <w:rsid w:val="00F525F0"/>
    <w:rsid w:val="00F532E1"/>
    <w:rsid w:val="00F54DB0"/>
    <w:rsid w:val="00F55110"/>
    <w:rsid w:val="00F576ED"/>
    <w:rsid w:val="00F6103B"/>
    <w:rsid w:val="00F6114E"/>
    <w:rsid w:val="00F6130A"/>
    <w:rsid w:val="00F618A6"/>
    <w:rsid w:val="00F61CAA"/>
    <w:rsid w:val="00F62549"/>
    <w:rsid w:val="00F62FBF"/>
    <w:rsid w:val="00F63512"/>
    <w:rsid w:val="00F63C82"/>
    <w:rsid w:val="00F63F26"/>
    <w:rsid w:val="00F66078"/>
    <w:rsid w:val="00F665C4"/>
    <w:rsid w:val="00F67037"/>
    <w:rsid w:val="00F679D9"/>
    <w:rsid w:val="00F703C8"/>
    <w:rsid w:val="00F7068A"/>
    <w:rsid w:val="00F70F0B"/>
    <w:rsid w:val="00F72891"/>
    <w:rsid w:val="00F730C6"/>
    <w:rsid w:val="00F742E6"/>
    <w:rsid w:val="00F74A23"/>
    <w:rsid w:val="00F74B13"/>
    <w:rsid w:val="00F74F4A"/>
    <w:rsid w:val="00F750D1"/>
    <w:rsid w:val="00F7549A"/>
    <w:rsid w:val="00F777B4"/>
    <w:rsid w:val="00F8055C"/>
    <w:rsid w:val="00F8076B"/>
    <w:rsid w:val="00F8088C"/>
    <w:rsid w:val="00F811C5"/>
    <w:rsid w:val="00F819A9"/>
    <w:rsid w:val="00F81F1B"/>
    <w:rsid w:val="00F82754"/>
    <w:rsid w:val="00F82DD9"/>
    <w:rsid w:val="00F83A6B"/>
    <w:rsid w:val="00F84325"/>
    <w:rsid w:val="00F84B27"/>
    <w:rsid w:val="00F85D3B"/>
    <w:rsid w:val="00F863D2"/>
    <w:rsid w:val="00F867E5"/>
    <w:rsid w:val="00F90A57"/>
    <w:rsid w:val="00F9119E"/>
    <w:rsid w:val="00F91A4D"/>
    <w:rsid w:val="00F91CF0"/>
    <w:rsid w:val="00F92077"/>
    <w:rsid w:val="00F9294C"/>
    <w:rsid w:val="00F92B52"/>
    <w:rsid w:val="00F935C4"/>
    <w:rsid w:val="00F93EB4"/>
    <w:rsid w:val="00F946D7"/>
    <w:rsid w:val="00F94BFE"/>
    <w:rsid w:val="00F9590E"/>
    <w:rsid w:val="00F96F46"/>
    <w:rsid w:val="00F973BE"/>
    <w:rsid w:val="00F974DE"/>
    <w:rsid w:val="00FA0058"/>
    <w:rsid w:val="00FA081B"/>
    <w:rsid w:val="00FA1EDE"/>
    <w:rsid w:val="00FA239E"/>
    <w:rsid w:val="00FA266E"/>
    <w:rsid w:val="00FA3166"/>
    <w:rsid w:val="00FA347C"/>
    <w:rsid w:val="00FA4502"/>
    <w:rsid w:val="00FA5984"/>
    <w:rsid w:val="00FA673C"/>
    <w:rsid w:val="00FA70F6"/>
    <w:rsid w:val="00FA7262"/>
    <w:rsid w:val="00FB066E"/>
    <w:rsid w:val="00FB0FDE"/>
    <w:rsid w:val="00FB4191"/>
    <w:rsid w:val="00FB4DD3"/>
    <w:rsid w:val="00FB5534"/>
    <w:rsid w:val="00FB613F"/>
    <w:rsid w:val="00FB61F8"/>
    <w:rsid w:val="00FB68C6"/>
    <w:rsid w:val="00FB75BC"/>
    <w:rsid w:val="00FB7776"/>
    <w:rsid w:val="00FB78FB"/>
    <w:rsid w:val="00FC345E"/>
    <w:rsid w:val="00FC35CD"/>
    <w:rsid w:val="00FC4947"/>
    <w:rsid w:val="00FC4C45"/>
    <w:rsid w:val="00FC4E88"/>
    <w:rsid w:val="00FC61D9"/>
    <w:rsid w:val="00FC7A8F"/>
    <w:rsid w:val="00FD0778"/>
    <w:rsid w:val="00FD09D4"/>
    <w:rsid w:val="00FD229D"/>
    <w:rsid w:val="00FD2609"/>
    <w:rsid w:val="00FD44F6"/>
    <w:rsid w:val="00FD549E"/>
    <w:rsid w:val="00FD57AB"/>
    <w:rsid w:val="00FD6B1A"/>
    <w:rsid w:val="00FD7960"/>
    <w:rsid w:val="00FD7BF5"/>
    <w:rsid w:val="00FE1809"/>
    <w:rsid w:val="00FE21E6"/>
    <w:rsid w:val="00FE46E6"/>
    <w:rsid w:val="00FE5173"/>
    <w:rsid w:val="00FE789A"/>
    <w:rsid w:val="00FE7B32"/>
    <w:rsid w:val="00FE7D5F"/>
    <w:rsid w:val="00FF0394"/>
    <w:rsid w:val="00FF0DE7"/>
    <w:rsid w:val="00FF1188"/>
    <w:rsid w:val="00FF1696"/>
    <w:rsid w:val="00FF170E"/>
    <w:rsid w:val="00FF2A5F"/>
    <w:rsid w:val="00FF54B3"/>
    <w:rsid w:val="00FF569D"/>
    <w:rsid w:val="00FF5826"/>
    <w:rsid w:val="00FF6C64"/>
    <w:rsid w:val="00FF7264"/>
    <w:rsid w:val="00FF7581"/>
    <w:rsid w:val="00FF7A79"/>
    <w:rsid w:val="0101A12D"/>
    <w:rsid w:val="014A0944"/>
    <w:rsid w:val="0167240E"/>
    <w:rsid w:val="01DFA0FE"/>
    <w:rsid w:val="01E78BEA"/>
    <w:rsid w:val="02497AB6"/>
    <w:rsid w:val="029BE011"/>
    <w:rsid w:val="02C69D22"/>
    <w:rsid w:val="033306D2"/>
    <w:rsid w:val="034737D8"/>
    <w:rsid w:val="034BF699"/>
    <w:rsid w:val="039E6CF3"/>
    <w:rsid w:val="03E327BC"/>
    <w:rsid w:val="03F60059"/>
    <w:rsid w:val="040A8F8E"/>
    <w:rsid w:val="046915B5"/>
    <w:rsid w:val="046A5CD4"/>
    <w:rsid w:val="04A4353E"/>
    <w:rsid w:val="04C315A8"/>
    <w:rsid w:val="04E9C94B"/>
    <w:rsid w:val="0525F770"/>
    <w:rsid w:val="054C480B"/>
    <w:rsid w:val="05C16B50"/>
    <w:rsid w:val="061E8178"/>
    <w:rsid w:val="06355E7E"/>
    <w:rsid w:val="065DA666"/>
    <w:rsid w:val="06C5BB8E"/>
    <w:rsid w:val="06E2D4A7"/>
    <w:rsid w:val="06F93DA5"/>
    <w:rsid w:val="073E9417"/>
    <w:rsid w:val="078F4EF9"/>
    <w:rsid w:val="080EF0BB"/>
    <w:rsid w:val="08335CBB"/>
    <w:rsid w:val="08534875"/>
    <w:rsid w:val="085F274C"/>
    <w:rsid w:val="086834D3"/>
    <w:rsid w:val="087D7FA1"/>
    <w:rsid w:val="08D49F25"/>
    <w:rsid w:val="08FA0732"/>
    <w:rsid w:val="09106E55"/>
    <w:rsid w:val="09247F22"/>
    <w:rsid w:val="093E6A0C"/>
    <w:rsid w:val="097E0440"/>
    <w:rsid w:val="09E9825C"/>
    <w:rsid w:val="0A0DC328"/>
    <w:rsid w:val="0A10FFD3"/>
    <w:rsid w:val="0A7B4ED9"/>
    <w:rsid w:val="0A829F2F"/>
    <w:rsid w:val="0AE95C39"/>
    <w:rsid w:val="0AF38F2C"/>
    <w:rsid w:val="0B11E01D"/>
    <w:rsid w:val="0B5CA989"/>
    <w:rsid w:val="0BD420B5"/>
    <w:rsid w:val="0BE3D254"/>
    <w:rsid w:val="0BE9BD6D"/>
    <w:rsid w:val="0C6B0125"/>
    <w:rsid w:val="0D0D67C9"/>
    <w:rsid w:val="0D136EB7"/>
    <w:rsid w:val="0D84F9D7"/>
    <w:rsid w:val="0DE80B7C"/>
    <w:rsid w:val="0DEAF6AF"/>
    <w:rsid w:val="0E16EEDA"/>
    <w:rsid w:val="0E581698"/>
    <w:rsid w:val="0EBE46EB"/>
    <w:rsid w:val="0EBFE1FB"/>
    <w:rsid w:val="0F2FD2A8"/>
    <w:rsid w:val="0F459FCB"/>
    <w:rsid w:val="0F71A70C"/>
    <w:rsid w:val="0FF55F18"/>
    <w:rsid w:val="101CC87E"/>
    <w:rsid w:val="1043F51E"/>
    <w:rsid w:val="10E94749"/>
    <w:rsid w:val="10F7F1AE"/>
    <w:rsid w:val="11C69C29"/>
    <w:rsid w:val="11D89B5C"/>
    <w:rsid w:val="1295096C"/>
    <w:rsid w:val="129D3723"/>
    <w:rsid w:val="12F5E51B"/>
    <w:rsid w:val="1336C82F"/>
    <w:rsid w:val="1337FEDB"/>
    <w:rsid w:val="135E7DF0"/>
    <w:rsid w:val="14139353"/>
    <w:rsid w:val="1416717B"/>
    <w:rsid w:val="14882267"/>
    <w:rsid w:val="14A6EF21"/>
    <w:rsid w:val="14F5EE80"/>
    <w:rsid w:val="150B08D4"/>
    <w:rsid w:val="15680582"/>
    <w:rsid w:val="15CA84FF"/>
    <w:rsid w:val="15F9C2F9"/>
    <w:rsid w:val="162D5711"/>
    <w:rsid w:val="16679298"/>
    <w:rsid w:val="16D610C2"/>
    <w:rsid w:val="173CECBB"/>
    <w:rsid w:val="17596B47"/>
    <w:rsid w:val="1769C736"/>
    <w:rsid w:val="17775E88"/>
    <w:rsid w:val="17981673"/>
    <w:rsid w:val="17E29157"/>
    <w:rsid w:val="18102AC9"/>
    <w:rsid w:val="194F0CA7"/>
    <w:rsid w:val="195F26BF"/>
    <w:rsid w:val="19A2146D"/>
    <w:rsid w:val="1A8AC9F6"/>
    <w:rsid w:val="1AC88929"/>
    <w:rsid w:val="1AE86BCE"/>
    <w:rsid w:val="1AEECC73"/>
    <w:rsid w:val="1B009B04"/>
    <w:rsid w:val="1B10D0CB"/>
    <w:rsid w:val="1B156C88"/>
    <w:rsid w:val="1B611DB4"/>
    <w:rsid w:val="1B6DA8FE"/>
    <w:rsid w:val="1B743890"/>
    <w:rsid w:val="1B99A86C"/>
    <w:rsid w:val="1BA795A0"/>
    <w:rsid w:val="1BBE4653"/>
    <w:rsid w:val="1BE7546A"/>
    <w:rsid w:val="1C1C2320"/>
    <w:rsid w:val="1C38FDB0"/>
    <w:rsid w:val="1C4EBF93"/>
    <w:rsid w:val="1C655A3A"/>
    <w:rsid w:val="1C741E1B"/>
    <w:rsid w:val="1C7571BD"/>
    <w:rsid w:val="1C7FE71F"/>
    <w:rsid w:val="1C842838"/>
    <w:rsid w:val="1CA50E56"/>
    <w:rsid w:val="1CC2B8B8"/>
    <w:rsid w:val="1CC4F8AF"/>
    <w:rsid w:val="1CCF4AD1"/>
    <w:rsid w:val="1D1BDE3D"/>
    <w:rsid w:val="1DBB26D9"/>
    <w:rsid w:val="1DBE98D6"/>
    <w:rsid w:val="1DD16924"/>
    <w:rsid w:val="1DDC29CA"/>
    <w:rsid w:val="1E6BF627"/>
    <w:rsid w:val="1EF46D91"/>
    <w:rsid w:val="1F06A1AE"/>
    <w:rsid w:val="1F2F338A"/>
    <w:rsid w:val="1F3A5198"/>
    <w:rsid w:val="1F723667"/>
    <w:rsid w:val="1FFDEADD"/>
    <w:rsid w:val="201019BD"/>
    <w:rsid w:val="205C7724"/>
    <w:rsid w:val="2067D7E4"/>
    <w:rsid w:val="20B5CA1F"/>
    <w:rsid w:val="20CCEDCA"/>
    <w:rsid w:val="216A150C"/>
    <w:rsid w:val="21750071"/>
    <w:rsid w:val="21C3F553"/>
    <w:rsid w:val="221C1EB0"/>
    <w:rsid w:val="223479A6"/>
    <w:rsid w:val="2295F2CE"/>
    <w:rsid w:val="22C1D236"/>
    <w:rsid w:val="2387D044"/>
    <w:rsid w:val="238A8487"/>
    <w:rsid w:val="2403C052"/>
    <w:rsid w:val="24808ED1"/>
    <w:rsid w:val="24ADD481"/>
    <w:rsid w:val="24AE847B"/>
    <w:rsid w:val="24B5BD2A"/>
    <w:rsid w:val="251C9207"/>
    <w:rsid w:val="25F03AE3"/>
    <w:rsid w:val="26104071"/>
    <w:rsid w:val="2614B9C2"/>
    <w:rsid w:val="268B4E46"/>
    <w:rsid w:val="269B5872"/>
    <w:rsid w:val="270A8EF1"/>
    <w:rsid w:val="27836F24"/>
    <w:rsid w:val="27CF7786"/>
    <w:rsid w:val="28059525"/>
    <w:rsid w:val="28DE81B7"/>
    <w:rsid w:val="28E5CB9A"/>
    <w:rsid w:val="291EF8C6"/>
    <w:rsid w:val="2921C221"/>
    <w:rsid w:val="295F008E"/>
    <w:rsid w:val="29AD11A9"/>
    <w:rsid w:val="2A088B4C"/>
    <w:rsid w:val="2A1258B4"/>
    <w:rsid w:val="2A9067E0"/>
    <w:rsid w:val="2ABCCB5E"/>
    <w:rsid w:val="2ABE1F88"/>
    <w:rsid w:val="2AC5F390"/>
    <w:rsid w:val="2B66552B"/>
    <w:rsid w:val="2BCFBBFA"/>
    <w:rsid w:val="2C0B4980"/>
    <w:rsid w:val="2C2E5B1A"/>
    <w:rsid w:val="2C62D141"/>
    <w:rsid w:val="2C68ECFC"/>
    <w:rsid w:val="2CB41D0F"/>
    <w:rsid w:val="2CCD848F"/>
    <w:rsid w:val="2D3F123F"/>
    <w:rsid w:val="2D44CC97"/>
    <w:rsid w:val="2D7742AE"/>
    <w:rsid w:val="2D865319"/>
    <w:rsid w:val="2DB9969E"/>
    <w:rsid w:val="2DF0782F"/>
    <w:rsid w:val="2E1505AF"/>
    <w:rsid w:val="2E1C4FDD"/>
    <w:rsid w:val="2E222B92"/>
    <w:rsid w:val="2E3B64B8"/>
    <w:rsid w:val="2E3F1223"/>
    <w:rsid w:val="2E999D42"/>
    <w:rsid w:val="2F2B4F58"/>
    <w:rsid w:val="2F577C43"/>
    <w:rsid w:val="2F9CF202"/>
    <w:rsid w:val="2FCC1924"/>
    <w:rsid w:val="2FF32464"/>
    <w:rsid w:val="3078F4BD"/>
    <w:rsid w:val="30A850F9"/>
    <w:rsid w:val="30B8F79B"/>
    <w:rsid w:val="30F64F95"/>
    <w:rsid w:val="31670B1B"/>
    <w:rsid w:val="31E4A2C2"/>
    <w:rsid w:val="32399D3E"/>
    <w:rsid w:val="327C0E3E"/>
    <w:rsid w:val="3290819F"/>
    <w:rsid w:val="32D764DF"/>
    <w:rsid w:val="331284EA"/>
    <w:rsid w:val="333F39BC"/>
    <w:rsid w:val="3388BC5E"/>
    <w:rsid w:val="350B1295"/>
    <w:rsid w:val="3521E601"/>
    <w:rsid w:val="354AE50A"/>
    <w:rsid w:val="35623B71"/>
    <w:rsid w:val="3562D6C3"/>
    <w:rsid w:val="3583E00B"/>
    <w:rsid w:val="35CAA709"/>
    <w:rsid w:val="363C074A"/>
    <w:rsid w:val="365E84F6"/>
    <w:rsid w:val="367588D0"/>
    <w:rsid w:val="36B26779"/>
    <w:rsid w:val="36B7180E"/>
    <w:rsid w:val="36D8D3EB"/>
    <w:rsid w:val="374DB49B"/>
    <w:rsid w:val="378DFCE2"/>
    <w:rsid w:val="37B1B3A9"/>
    <w:rsid w:val="37B1D499"/>
    <w:rsid w:val="3809C4B3"/>
    <w:rsid w:val="38A019DC"/>
    <w:rsid w:val="38B24B36"/>
    <w:rsid w:val="38B96F18"/>
    <w:rsid w:val="394A95F7"/>
    <w:rsid w:val="39BBC3F8"/>
    <w:rsid w:val="39E839FC"/>
    <w:rsid w:val="3A2C5D33"/>
    <w:rsid w:val="3A7AF3DC"/>
    <w:rsid w:val="3AAF9F0D"/>
    <w:rsid w:val="3AC57ABE"/>
    <w:rsid w:val="3B008A6A"/>
    <w:rsid w:val="3B5F7097"/>
    <w:rsid w:val="3B9ED37C"/>
    <w:rsid w:val="3BA94EDF"/>
    <w:rsid w:val="3BD85280"/>
    <w:rsid w:val="3BFCF904"/>
    <w:rsid w:val="3C71FC4C"/>
    <w:rsid w:val="3D1B0159"/>
    <w:rsid w:val="3DA72987"/>
    <w:rsid w:val="3E0CEF26"/>
    <w:rsid w:val="3E62B413"/>
    <w:rsid w:val="3E893823"/>
    <w:rsid w:val="3F4BF5E6"/>
    <w:rsid w:val="3FB39B09"/>
    <w:rsid w:val="3FF1A7F9"/>
    <w:rsid w:val="40585F52"/>
    <w:rsid w:val="405D946B"/>
    <w:rsid w:val="4085A8FC"/>
    <w:rsid w:val="40861B1A"/>
    <w:rsid w:val="40AD887E"/>
    <w:rsid w:val="40BB76BF"/>
    <w:rsid w:val="410B9FEE"/>
    <w:rsid w:val="410CB8F1"/>
    <w:rsid w:val="413EA852"/>
    <w:rsid w:val="41863A64"/>
    <w:rsid w:val="41A5615A"/>
    <w:rsid w:val="41ECF1B9"/>
    <w:rsid w:val="41F7FA6A"/>
    <w:rsid w:val="422B4599"/>
    <w:rsid w:val="424D3FA4"/>
    <w:rsid w:val="427E318C"/>
    <w:rsid w:val="42D06302"/>
    <w:rsid w:val="43054EDA"/>
    <w:rsid w:val="434E5303"/>
    <w:rsid w:val="436B37F3"/>
    <w:rsid w:val="43D5C01F"/>
    <w:rsid w:val="4423AAB8"/>
    <w:rsid w:val="448BA39B"/>
    <w:rsid w:val="4493B5A3"/>
    <w:rsid w:val="44A805FC"/>
    <w:rsid w:val="44D0051E"/>
    <w:rsid w:val="450368EE"/>
    <w:rsid w:val="450B89EB"/>
    <w:rsid w:val="457FFD30"/>
    <w:rsid w:val="459B92D6"/>
    <w:rsid w:val="462148B6"/>
    <w:rsid w:val="463C2AC1"/>
    <w:rsid w:val="466DFBA7"/>
    <w:rsid w:val="46A09169"/>
    <w:rsid w:val="46A87136"/>
    <w:rsid w:val="46EB287E"/>
    <w:rsid w:val="476312AE"/>
    <w:rsid w:val="4764FEEA"/>
    <w:rsid w:val="47943938"/>
    <w:rsid w:val="47B0BA97"/>
    <w:rsid w:val="47D6E70D"/>
    <w:rsid w:val="47E32182"/>
    <w:rsid w:val="4819CF23"/>
    <w:rsid w:val="487030E4"/>
    <w:rsid w:val="48919DA3"/>
    <w:rsid w:val="48D1A8AA"/>
    <w:rsid w:val="48E23B4F"/>
    <w:rsid w:val="4918D2C7"/>
    <w:rsid w:val="49505C04"/>
    <w:rsid w:val="49B317DF"/>
    <w:rsid w:val="4A105551"/>
    <w:rsid w:val="4A2CD242"/>
    <w:rsid w:val="4A447574"/>
    <w:rsid w:val="4A5A0630"/>
    <w:rsid w:val="4A668549"/>
    <w:rsid w:val="4A77D4C3"/>
    <w:rsid w:val="4B5E76DF"/>
    <w:rsid w:val="4BBE34B7"/>
    <w:rsid w:val="4C297D8B"/>
    <w:rsid w:val="4C34D5F5"/>
    <w:rsid w:val="4C6483F9"/>
    <w:rsid w:val="4C86C4A2"/>
    <w:rsid w:val="4CBC130C"/>
    <w:rsid w:val="4DBEC7CD"/>
    <w:rsid w:val="4DE15163"/>
    <w:rsid w:val="4E38F39F"/>
    <w:rsid w:val="4E8CDBA0"/>
    <w:rsid w:val="4EA8D8F4"/>
    <w:rsid w:val="4EDB0EC2"/>
    <w:rsid w:val="4EF91737"/>
    <w:rsid w:val="4F00D0DC"/>
    <w:rsid w:val="4F0814AE"/>
    <w:rsid w:val="4F538FE1"/>
    <w:rsid w:val="4F6959C5"/>
    <w:rsid w:val="4F967F4B"/>
    <w:rsid w:val="504C671D"/>
    <w:rsid w:val="509DBBE5"/>
    <w:rsid w:val="50C7700C"/>
    <w:rsid w:val="518EF803"/>
    <w:rsid w:val="51F157DA"/>
    <w:rsid w:val="52002AD3"/>
    <w:rsid w:val="5255C8A4"/>
    <w:rsid w:val="529B9509"/>
    <w:rsid w:val="529D1582"/>
    <w:rsid w:val="52B70D2D"/>
    <w:rsid w:val="52C340C6"/>
    <w:rsid w:val="53F719B3"/>
    <w:rsid w:val="540528F5"/>
    <w:rsid w:val="5456C629"/>
    <w:rsid w:val="549E296F"/>
    <w:rsid w:val="54DFFF1A"/>
    <w:rsid w:val="54E690C2"/>
    <w:rsid w:val="5549C0D2"/>
    <w:rsid w:val="558DFA26"/>
    <w:rsid w:val="55BB5BBE"/>
    <w:rsid w:val="55C771FF"/>
    <w:rsid w:val="55F86084"/>
    <w:rsid w:val="5668E40E"/>
    <w:rsid w:val="5670E0C6"/>
    <w:rsid w:val="56787CEF"/>
    <w:rsid w:val="56AF495B"/>
    <w:rsid w:val="570F0531"/>
    <w:rsid w:val="5742C934"/>
    <w:rsid w:val="57CC9638"/>
    <w:rsid w:val="5821FDCD"/>
    <w:rsid w:val="582CD8C0"/>
    <w:rsid w:val="582DD415"/>
    <w:rsid w:val="5894D787"/>
    <w:rsid w:val="589E6E02"/>
    <w:rsid w:val="58AFA68E"/>
    <w:rsid w:val="59704C71"/>
    <w:rsid w:val="598B33BE"/>
    <w:rsid w:val="5A2127F7"/>
    <w:rsid w:val="5A5A7203"/>
    <w:rsid w:val="5A6F716E"/>
    <w:rsid w:val="5A76FD5C"/>
    <w:rsid w:val="5ACB471C"/>
    <w:rsid w:val="5B0CFCC4"/>
    <w:rsid w:val="5B5AD362"/>
    <w:rsid w:val="5BE643A1"/>
    <w:rsid w:val="5C116CC6"/>
    <w:rsid w:val="5C190333"/>
    <w:rsid w:val="5C52969F"/>
    <w:rsid w:val="5C5C72C7"/>
    <w:rsid w:val="5C860CEB"/>
    <w:rsid w:val="5C915C80"/>
    <w:rsid w:val="5CBE902B"/>
    <w:rsid w:val="5CCAE2D3"/>
    <w:rsid w:val="5D42FF38"/>
    <w:rsid w:val="5D450E21"/>
    <w:rsid w:val="5D4F64E6"/>
    <w:rsid w:val="5D837CF0"/>
    <w:rsid w:val="5DE6050A"/>
    <w:rsid w:val="5E70388F"/>
    <w:rsid w:val="5E86AC3B"/>
    <w:rsid w:val="5EA1E243"/>
    <w:rsid w:val="5EA616FA"/>
    <w:rsid w:val="5EDEFEE4"/>
    <w:rsid w:val="5EF867EB"/>
    <w:rsid w:val="5F0799DD"/>
    <w:rsid w:val="5F08F1DE"/>
    <w:rsid w:val="5F6FECA2"/>
    <w:rsid w:val="5FBD3E44"/>
    <w:rsid w:val="5FEA8BF6"/>
    <w:rsid w:val="60125E1A"/>
    <w:rsid w:val="60618CB7"/>
    <w:rsid w:val="60646B43"/>
    <w:rsid w:val="60DE896F"/>
    <w:rsid w:val="616C35EB"/>
    <w:rsid w:val="61FEA269"/>
    <w:rsid w:val="6241AD73"/>
    <w:rsid w:val="6243401A"/>
    <w:rsid w:val="6295F8E2"/>
    <w:rsid w:val="62DC1BB9"/>
    <w:rsid w:val="62DFCF75"/>
    <w:rsid w:val="632BF76C"/>
    <w:rsid w:val="6351BB1C"/>
    <w:rsid w:val="635280B7"/>
    <w:rsid w:val="635B4721"/>
    <w:rsid w:val="63645244"/>
    <w:rsid w:val="6377A015"/>
    <w:rsid w:val="637A43FD"/>
    <w:rsid w:val="637DCE6B"/>
    <w:rsid w:val="6408335F"/>
    <w:rsid w:val="641847B5"/>
    <w:rsid w:val="6461C161"/>
    <w:rsid w:val="64E53603"/>
    <w:rsid w:val="64E7821E"/>
    <w:rsid w:val="650BA0E7"/>
    <w:rsid w:val="653E427F"/>
    <w:rsid w:val="65586658"/>
    <w:rsid w:val="655EF821"/>
    <w:rsid w:val="656F251F"/>
    <w:rsid w:val="65904E44"/>
    <w:rsid w:val="65C5206D"/>
    <w:rsid w:val="65E15DDC"/>
    <w:rsid w:val="65EA2ECC"/>
    <w:rsid w:val="65EDEC4F"/>
    <w:rsid w:val="6604A995"/>
    <w:rsid w:val="66108FB8"/>
    <w:rsid w:val="66707450"/>
    <w:rsid w:val="6670C3B5"/>
    <w:rsid w:val="66726649"/>
    <w:rsid w:val="66AB27B6"/>
    <w:rsid w:val="66AC8DC5"/>
    <w:rsid w:val="66B610EC"/>
    <w:rsid w:val="66C7EF53"/>
    <w:rsid w:val="66E6D334"/>
    <w:rsid w:val="66F0F365"/>
    <w:rsid w:val="66FE2D46"/>
    <w:rsid w:val="671AE181"/>
    <w:rsid w:val="673CA70B"/>
    <w:rsid w:val="674E0A13"/>
    <w:rsid w:val="6768452E"/>
    <w:rsid w:val="676CC9DE"/>
    <w:rsid w:val="676D4DBC"/>
    <w:rsid w:val="6783DD63"/>
    <w:rsid w:val="67871DD9"/>
    <w:rsid w:val="67BA98CE"/>
    <w:rsid w:val="6832BF58"/>
    <w:rsid w:val="68425020"/>
    <w:rsid w:val="684F4B8A"/>
    <w:rsid w:val="69076A23"/>
    <w:rsid w:val="6922938B"/>
    <w:rsid w:val="693D64E5"/>
    <w:rsid w:val="69C24133"/>
    <w:rsid w:val="6A60D4ED"/>
    <w:rsid w:val="6A6ABA46"/>
    <w:rsid w:val="6A729AC3"/>
    <w:rsid w:val="6A891C7C"/>
    <w:rsid w:val="6A9ECAA2"/>
    <w:rsid w:val="6AAD7489"/>
    <w:rsid w:val="6AAFF4DC"/>
    <w:rsid w:val="6AC65EB3"/>
    <w:rsid w:val="6AEF2FF1"/>
    <w:rsid w:val="6B21E9B5"/>
    <w:rsid w:val="6B97ED5B"/>
    <w:rsid w:val="6BC4822B"/>
    <w:rsid w:val="6CCF192D"/>
    <w:rsid w:val="6CE00235"/>
    <w:rsid w:val="6CF74D71"/>
    <w:rsid w:val="6D14CF9F"/>
    <w:rsid w:val="6D208044"/>
    <w:rsid w:val="6D3235F1"/>
    <w:rsid w:val="6D7F26A1"/>
    <w:rsid w:val="6D9F7EF7"/>
    <w:rsid w:val="6E20D2EF"/>
    <w:rsid w:val="6E25C05A"/>
    <w:rsid w:val="6E72DE88"/>
    <w:rsid w:val="6E79D48A"/>
    <w:rsid w:val="6E8F895C"/>
    <w:rsid w:val="6F03B058"/>
    <w:rsid w:val="6F09A6F8"/>
    <w:rsid w:val="6F2DC592"/>
    <w:rsid w:val="6F3EE021"/>
    <w:rsid w:val="6F5A9E9F"/>
    <w:rsid w:val="6F83A73F"/>
    <w:rsid w:val="6F83EE36"/>
    <w:rsid w:val="6F91A7FA"/>
    <w:rsid w:val="6FA639AA"/>
    <w:rsid w:val="6FB4154B"/>
    <w:rsid w:val="6FBF8987"/>
    <w:rsid w:val="702E489D"/>
    <w:rsid w:val="70547B79"/>
    <w:rsid w:val="707B6500"/>
    <w:rsid w:val="70C18BE1"/>
    <w:rsid w:val="70DCB086"/>
    <w:rsid w:val="7118B402"/>
    <w:rsid w:val="715BAF6F"/>
    <w:rsid w:val="723F735C"/>
    <w:rsid w:val="72402A61"/>
    <w:rsid w:val="7256F351"/>
    <w:rsid w:val="7287F5B6"/>
    <w:rsid w:val="72A29FC5"/>
    <w:rsid w:val="72C1BAC5"/>
    <w:rsid w:val="72C88EB9"/>
    <w:rsid w:val="734B7CC1"/>
    <w:rsid w:val="73CF3A39"/>
    <w:rsid w:val="73DE976B"/>
    <w:rsid w:val="73ED8084"/>
    <w:rsid w:val="7431009C"/>
    <w:rsid w:val="743DBA57"/>
    <w:rsid w:val="74B8D709"/>
    <w:rsid w:val="751E275B"/>
    <w:rsid w:val="759CFE87"/>
    <w:rsid w:val="75CBDDF8"/>
    <w:rsid w:val="762E9692"/>
    <w:rsid w:val="7679AC45"/>
    <w:rsid w:val="76BADE9A"/>
    <w:rsid w:val="76ED88E9"/>
    <w:rsid w:val="776B5148"/>
    <w:rsid w:val="77D51C06"/>
    <w:rsid w:val="78399A5D"/>
    <w:rsid w:val="7867A8F7"/>
    <w:rsid w:val="78C0CB85"/>
    <w:rsid w:val="78CD626C"/>
    <w:rsid w:val="78DA7FB7"/>
    <w:rsid w:val="78E1D94A"/>
    <w:rsid w:val="793F94F8"/>
    <w:rsid w:val="794B0E8D"/>
    <w:rsid w:val="79663E97"/>
    <w:rsid w:val="79A24704"/>
    <w:rsid w:val="7A3755A2"/>
    <w:rsid w:val="7A885B57"/>
    <w:rsid w:val="7AA41D10"/>
    <w:rsid w:val="7AC0D680"/>
    <w:rsid w:val="7AE35550"/>
    <w:rsid w:val="7B173968"/>
    <w:rsid w:val="7B4C735F"/>
    <w:rsid w:val="7B4E56BD"/>
    <w:rsid w:val="7BC90C34"/>
    <w:rsid w:val="7C3174A7"/>
    <w:rsid w:val="7C3564E4"/>
    <w:rsid w:val="7C63FCD9"/>
    <w:rsid w:val="7C84056A"/>
    <w:rsid w:val="7D01A805"/>
    <w:rsid w:val="7D41EC15"/>
    <w:rsid w:val="7D5F08A5"/>
    <w:rsid w:val="7DD051FD"/>
    <w:rsid w:val="7DD0DA77"/>
    <w:rsid w:val="7DE5096F"/>
    <w:rsid w:val="7E0F2864"/>
    <w:rsid w:val="7E145B9E"/>
    <w:rsid w:val="7E3601F0"/>
    <w:rsid w:val="7E6D2ABF"/>
    <w:rsid w:val="7E85DBBF"/>
    <w:rsid w:val="7F0C89CD"/>
    <w:rsid w:val="7F162C92"/>
    <w:rsid w:val="7F540FA3"/>
    <w:rsid w:val="7F680F52"/>
    <w:rsid w:val="7F9F2989"/>
    <w:rsid w:val="7FB3559B"/>
    <w:rsid w:val="7FEFBDE0"/>
    <w:rsid w:val="7FF326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F46F90E"/>
  <w14:defaultImageDpi w14:val="300"/>
  <w15:docId w15:val="{E3B03083-CD8D-4207-9F5A-351ECCB39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7750"/>
    <w:pPr>
      <w:spacing w:line="360" w:lineRule="auto"/>
    </w:pPr>
    <w:rPr>
      <w:rFonts w:ascii="Source Sans Pro" w:hAnsi="Source Sans Pro"/>
      <w:lang w:val="en-AU"/>
    </w:rPr>
  </w:style>
  <w:style w:type="paragraph" w:styleId="Heading1">
    <w:name w:val="heading 1"/>
    <w:basedOn w:val="Normal"/>
    <w:next w:val="Normal"/>
    <w:link w:val="Heading1Char"/>
    <w:uiPriority w:val="9"/>
    <w:qFormat/>
    <w:rsid w:val="00806925"/>
    <w:pPr>
      <w:keepNext/>
      <w:keepLines/>
      <w:outlineLvl w:val="0"/>
    </w:pPr>
    <w:rPr>
      <w:rFonts w:ascii="Roboto" w:eastAsiaTheme="majorEastAsia" w:hAnsi="Roboto" w:cstheme="majorBidi"/>
      <w:b/>
      <w:szCs w:val="32"/>
    </w:rPr>
  </w:style>
  <w:style w:type="paragraph" w:styleId="Heading2">
    <w:name w:val="heading 2"/>
    <w:basedOn w:val="Normal"/>
    <w:next w:val="Normal"/>
    <w:link w:val="Heading2Char"/>
    <w:uiPriority w:val="9"/>
    <w:unhideWhenUsed/>
    <w:rsid w:val="0036662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D26DF9"/>
    <w:pPr>
      <w:keepNext/>
      <w:keepLines/>
      <w:outlineLvl w:val="2"/>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1D4C"/>
    <w:pPr>
      <w:tabs>
        <w:tab w:val="center" w:pos="4320"/>
        <w:tab w:val="right" w:pos="8640"/>
      </w:tabs>
    </w:pPr>
  </w:style>
  <w:style w:type="character" w:customStyle="1" w:styleId="HeaderChar">
    <w:name w:val="Header Char"/>
    <w:basedOn w:val="DefaultParagraphFont"/>
    <w:link w:val="Header"/>
    <w:uiPriority w:val="99"/>
    <w:rsid w:val="00781D4C"/>
  </w:style>
  <w:style w:type="paragraph" w:styleId="Footer">
    <w:name w:val="footer"/>
    <w:basedOn w:val="Normal"/>
    <w:link w:val="FooterChar"/>
    <w:uiPriority w:val="99"/>
    <w:unhideWhenUsed/>
    <w:rsid w:val="00781D4C"/>
    <w:pPr>
      <w:tabs>
        <w:tab w:val="center" w:pos="4320"/>
        <w:tab w:val="right" w:pos="8640"/>
      </w:tabs>
    </w:pPr>
  </w:style>
  <w:style w:type="character" w:customStyle="1" w:styleId="FooterChar">
    <w:name w:val="Footer Char"/>
    <w:basedOn w:val="DefaultParagraphFont"/>
    <w:link w:val="Footer"/>
    <w:uiPriority w:val="99"/>
    <w:rsid w:val="00781D4C"/>
  </w:style>
  <w:style w:type="paragraph" w:styleId="BalloonText">
    <w:name w:val="Balloon Text"/>
    <w:basedOn w:val="Normal"/>
    <w:link w:val="BalloonTextChar"/>
    <w:uiPriority w:val="99"/>
    <w:semiHidden/>
    <w:unhideWhenUsed/>
    <w:rsid w:val="00781D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1D4C"/>
    <w:rPr>
      <w:rFonts w:ascii="Lucida Grande" w:hAnsi="Lucida Grande" w:cs="Lucida Grande"/>
      <w:sz w:val="18"/>
      <w:szCs w:val="18"/>
    </w:rPr>
  </w:style>
  <w:style w:type="paragraph" w:customStyle="1" w:styleId="arial">
    <w:name w:val="arial"/>
    <w:basedOn w:val="Normal"/>
    <w:rsid w:val="00781D4C"/>
  </w:style>
  <w:style w:type="paragraph" w:customStyle="1" w:styleId="QAIHeading1">
    <w:name w:val="QAI Heading 1"/>
    <w:basedOn w:val="Normal"/>
    <w:autoRedefine/>
    <w:qFormat/>
    <w:rsid w:val="002C7880"/>
    <w:pPr>
      <w:tabs>
        <w:tab w:val="left" w:pos="1400"/>
      </w:tabs>
    </w:pPr>
    <w:rPr>
      <w:rFonts w:ascii="Roboto Black" w:hAnsi="Roboto Black" w:cs="Calibri"/>
      <w:color w:val="FFFFFF" w:themeColor="background1"/>
      <w:sz w:val="52"/>
      <w:szCs w:val="72"/>
    </w:rPr>
  </w:style>
  <w:style w:type="paragraph" w:customStyle="1" w:styleId="QAIHeading2">
    <w:name w:val="QAI Heading 2"/>
    <w:basedOn w:val="Normal"/>
    <w:autoRedefine/>
    <w:qFormat/>
    <w:rsid w:val="0075651E"/>
    <w:pPr>
      <w:spacing w:before="240" w:after="120"/>
    </w:pPr>
    <w:rPr>
      <w:rFonts w:ascii="Roboto" w:hAnsi="Roboto" w:cs="Calibri"/>
      <w:b/>
      <w:bCs/>
      <w:color w:val="401E6B"/>
      <w:sz w:val="32"/>
      <w:szCs w:val="32"/>
    </w:rPr>
  </w:style>
  <w:style w:type="paragraph" w:customStyle="1" w:styleId="MWAWParagraph">
    <w:name w:val="MWAW Paragraph"/>
    <w:basedOn w:val="Normal"/>
    <w:autoRedefine/>
    <w:rsid w:val="00347F04"/>
    <w:pPr>
      <w:spacing w:line="276" w:lineRule="auto"/>
    </w:pPr>
    <w:rPr>
      <w:rFonts w:ascii="Nunito Sans Light" w:hAnsi="Nunito Sans Light"/>
      <w:color w:val="000000" w:themeColor="text1"/>
      <w:sz w:val="19"/>
      <w:szCs w:val="19"/>
    </w:rPr>
  </w:style>
  <w:style w:type="paragraph" w:customStyle="1" w:styleId="QAIHeading3">
    <w:name w:val="QAI Heading 3"/>
    <w:basedOn w:val="Normal"/>
    <w:rsid w:val="00DD14D2"/>
    <w:rPr>
      <w:rFonts w:cs="Calibri"/>
      <w:color w:val="F26222"/>
    </w:rPr>
  </w:style>
  <w:style w:type="character" w:customStyle="1" w:styleId="Heading1Char">
    <w:name w:val="Heading 1 Char"/>
    <w:basedOn w:val="DefaultParagraphFont"/>
    <w:link w:val="Heading1"/>
    <w:uiPriority w:val="9"/>
    <w:rsid w:val="00806925"/>
    <w:rPr>
      <w:rFonts w:ascii="Roboto" w:eastAsiaTheme="majorEastAsia" w:hAnsi="Roboto" w:cstheme="majorBidi"/>
      <w:b/>
      <w:szCs w:val="32"/>
    </w:rPr>
  </w:style>
  <w:style w:type="character" w:customStyle="1" w:styleId="Heading3Char">
    <w:name w:val="Heading 3 Char"/>
    <w:basedOn w:val="DefaultParagraphFont"/>
    <w:link w:val="Heading3"/>
    <w:uiPriority w:val="9"/>
    <w:semiHidden/>
    <w:rsid w:val="00D26DF9"/>
    <w:rPr>
      <w:rFonts w:ascii="Calibri" w:eastAsiaTheme="majorEastAsia" w:hAnsi="Calibri" w:cstheme="majorBidi"/>
    </w:rPr>
  </w:style>
  <w:style w:type="paragraph" w:styleId="NoSpacing">
    <w:name w:val="No Spacing"/>
    <w:uiPriority w:val="1"/>
    <w:qFormat/>
    <w:rsid w:val="00366627"/>
    <w:rPr>
      <w:rFonts w:ascii="Calibri" w:hAnsi="Calibri"/>
    </w:rPr>
  </w:style>
  <w:style w:type="paragraph" w:styleId="ListParagraph">
    <w:name w:val="List Paragraph"/>
    <w:aliases w:val="List Paragraph1,List Paragraph11,Recommendation,L,Bullet Point,Bullet points,Content descriptions,Bullet point,CV text,F5 List Paragraph,Dot pt,List Paragraph111,Medium Grid 1 - Accent 21,Numbered Paragraph,NFP GP Bulleted List,Table,Main"/>
    <w:basedOn w:val="Normal"/>
    <w:link w:val="ListParagraphChar"/>
    <w:autoRedefine/>
    <w:uiPriority w:val="34"/>
    <w:qFormat/>
    <w:rsid w:val="00F0652B"/>
    <w:pPr>
      <w:numPr>
        <w:numId w:val="4"/>
      </w:numPr>
      <w:tabs>
        <w:tab w:val="left" w:pos="426"/>
      </w:tabs>
      <w:spacing w:before="240" w:after="240"/>
    </w:pPr>
    <w:rPr>
      <w:rFonts w:cs="Times New Roman"/>
      <w:lang w:eastAsia="ja-JP"/>
    </w:rPr>
  </w:style>
  <w:style w:type="character" w:customStyle="1" w:styleId="Heading2Char">
    <w:name w:val="Heading 2 Char"/>
    <w:basedOn w:val="DefaultParagraphFont"/>
    <w:link w:val="Heading2"/>
    <w:uiPriority w:val="9"/>
    <w:rsid w:val="00366627"/>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C64A93"/>
    <w:pPr>
      <w:spacing w:before="100" w:beforeAutospacing="1" w:after="100" w:afterAutospacing="1" w:line="240" w:lineRule="auto"/>
    </w:pPr>
    <w:rPr>
      <w:rFonts w:ascii="Times New Roman" w:eastAsia="Times New Roman" w:hAnsi="Times New Roman" w:cs="Times New Roman"/>
      <w:lang w:eastAsia="en-AU"/>
    </w:rPr>
  </w:style>
  <w:style w:type="character" w:styleId="Hyperlink">
    <w:name w:val="Hyperlink"/>
    <w:basedOn w:val="DefaultParagraphFont"/>
    <w:uiPriority w:val="99"/>
    <w:unhideWhenUsed/>
    <w:rsid w:val="00F259AF"/>
    <w:rPr>
      <w:color w:val="0000FF" w:themeColor="hyperlink"/>
      <w:u w:val="single"/>
    </w:rPr>
  </w:style>
  <w:style w:type="paragraph" w:styleId="TOCHeading">
    <w:name w:val="TOC Heading"/>
    <w:basedOn w:val="Heading1"/>
    <w:next w:val="Normal"/>
    <w:uiPriority w:val="39"/>
    <w:unhideWhenUsed/>
    <w:qFormat/>
    <w:rsid w:val="00F259AF"/>
    <w:pPr>
      <w:spacing w:before="240" w:line="259" w:lineRule="auto"/>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rsid w:val="00F259AF"/>
    <w:pPr>
      <w:tabs>
        <w:tab w:val="right" w:pos="9736"/>
      </w:tabs>
      <w:spacing w:after="100" w:line="240" w:lineRule="auto"/>
    </w:pPr>
    <w:rPr>
      <w:rFonts w:asciiTheme="minorHAnsi" w:hAnsiTheme="minorHAnsi" w:cs="Times New Roman"/>
      <w:lang w:eastAsia="ja-JP"/>
    </w:rPr>
  </w:style>
  <w:style w:type="paragraph" w:styleId="TOC2">
    <w:name w:val="toc 2"/>
    <w:basedOn w:val="Normal"/>
    <w:next w:val="Normal"/>
    <w:autoRedefine/>
    <w:uiPriority w:val="39"/>
    <w:unhideWhenUsed/>
    <w:rsid w:val="00F259AF"/>
    <w:pPr>
      <w:spacing w:after="100" w:line="240" w:lineRule="auto"/>
      <w:ind w:left="240"/>
    </w:pPr>
    <w:rPr>
      <w:rFonts w:asciiTheme="minorHAnsi" w:hAnsiTheme="minorHAnsi" w:cs="Times New Roman"/>
      <w:lang w:eastAsia="ja-JP"/>
    </w:rPr>
  </w:style>
  <w:style w:type="table" w:styleId="TableGrid">
    <w:name w:val="Table Grid"/>
    <w:basedOn w:val="TableNormal"/>
    <w:uiPriority w:val="39"/>
    <w:rsid w:val="00FA70F6"/>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CE27CC"/>
    <w:pPr>
      <w:spacing w:after="100" w:line="259" w:lineRule="auto"/>
      <w:ind w:left="440"/>
    </w:pPr>
    <w:rPr>
      <w:rFonts w:asciiTheme="minorHAnsi" w:hAnsiTheme="minorHAnsi" w:cs="Times New Roman"/>
      <w:sz w:val="22"/>
      <w:szCs w:val="22"/>
    </w:rPr>
  </w:style>
  <w:style w:type="character" w:styleId="BookTitle">
    <w:name w:val="Book Title"/>
    <w:basedOn w:val="DefaultParagraphFont"/>
    <w:uiPriority w:val="33"/>
    <w:qFormat/>
    <w:rsid w:val="00D765EF"/>
    <w:rPr>
      <w:b/>
      <w:bCs/>
      <w:i/>
      <w:iCs/>
      <w:spacing w:val="5"/>
    </w:rPr>
  </w:style>
  <w:style w:type="paragraph" w:styleId="FootnoteText">
    <w:name w:val="footnote text"/>
    <w:basedOn w:val="Normal"/>
    <w:link w:val="FootnoteTextChar"/>
    <w:uiPriority w:val="99"/>
    <w:unhideWhenUsed/>
    <w:rsid w:val="003A709F"/>
    <w:pPr>
      <w:tabs>
        <w:tab w:val="left" w:pos="288"/>
      </w:tabs>
      <w:spacing w:line="240" w:lineRule="auto"/>
    </w:pPr>
    <w:rPr>
      <w:rFonts w:asciiTheme="minorHAnsi" w:hAnsiTheme="minorHAnsi" w:cs="Times New Roman"/>
      <w:sz w:val="20"/>
      <w:szCs w:val="20"/>
      <w:lang w:eastAsia="ja-JP"/>
    </w:rPr>
  </w:style>
  <w:style w:type="character" w:customStyle="1" w:styleId="FootnoteTextChar">
    <w:name w:val="Footnote Text Char"/>
    <w:basedOn w:val="DefaultParagraphFont"/>
    <w:link w:val="FootnoteText"/>
    <w:uiPriority w:val="99"/>
    <w:rsid w:val="003A709F"/>
    <w:rPr>
      <w:rFonts w:cs="Times New Roman"/>
      <w:sz w:val="20"/>
      <w:szCs w:val="20"/>
      <w:lang w:val="en-AU" w:eastAsia="ja-JP"/>
    </w:rPr>
  </w:style>
  <w:style w:type="character" w:styleId="FootnoteReference">
    <w:name w:val="footnote reference"/>
    <w:basedOn w:val="DefaultParagraphFont"/>
    <w:uiPriority w:val="99"/>
    <w:semiHidden/>
    <w:unhideWhenUsed/>
    <w:rsid w:val="003A709F"/>
    <w:rPr>
      <w:vertAlign w:val="superscript"/>
    </w:rPr>
  </w:style>
  <w:style w:type="character" w:customStyle="1" w:styleId="ListParagraphChar">
    <w:name w:val="List Paragraph Char"/>
    <w:aliases w:val="List Paragraph1 Char,List Paragraph11 Char,Recommendation Char,L Char,Bullet Point Char,Bullet points Char,Content descriptions Char,Bullet point Char,CV text Char,F5 List Paragraph Char,Dot pt Char,List Paragraph111 Char,Table Char"/>
    <w:basedOn w:val="DefaultParagraphFont"/>
    <w:link w:val="ListParagraph"/>
    <w:uiPriority w:val="34"/>
    <w:qFormat/>
    <w:locked/>
    <w:rsid w:val="00F0652B"/>
    <w:rPr>
      <w:rFonts w:ascii="Source Sans Pro" w:hAnsi="Source Sans Pro" w:cs="Times New Roman"/>
      <w:lang w:val="en-AU" w:eastAsia="ja-JP"/>
    </w:rPr>
  </w:style>
  <w:style w:type="character" w:styleId="CommentReference">
    <w:name w:val="annotation reference"/>
    <w:basedOn w:val="DefaultParagraphFont"/>
    <w:uiPriority w:val="99"/>
    <w:semiHidden/>
    <w:unhideWhenUsed/>
    <w:rsid w:val="00B80753"/>
    <w:rPr>
      <w:sz w:val="16"/>
      <w:szCs w:val="16"/>
    </w:rPr>
  </w:style>
  <w:style w:type="paragraph" w:styleId="CommentText">
    <w:name w:val="annotation text"/>
    <w:basedOn w:val="Normal"/>
    <w:link w:val="CommentTextChar"/>
    <w:uiPriority w:val="99"/>
    <w:unhideWhenUsed/>
    <w:rsid w:val="00B80753"/>
    <w:pPr>
      <w:spacing w:line="240" w:lineRule="auto"/>
    </w:pPr>
    <w:rPr>
      <w:sz w:val="20"/>
      <w:szCs w:val="20"/>
    </w:rPr>
  </w:style>
  <w:style w:type="character" w:customStyle="1" w:styleId="CommentTextChar">
    <w:name w:val="Comment Text Char"/>
    <w:basedOn w:val="DefaultParagraphFont"/>
    <w:link w:val="CommentText"/>
    <w:uiPriority w:val="99"/>
    <w:rsid w:val="00B80753"/>
    <w:rPr>
      <w:rFonts w:ascii="Source Sans Pro" w:hAnsi="Source Sans Pro"/>
      <w:sz w:val="20"/>
      <w:szCs w:val="20"/>
      <w:lang w:val="en-AU"/>
    </w:rPr>
  </w:style>
  <w:style w:type="paragraph" w:styleId="CommentSubject">
    <w:name w:val="annotation subject"/>
    <w:basedOn w:val="CommentText"/>
    <w:next w:val="CommentText"/>
    <w:link w:val="CommentSubjectChar"/>
    <w:uiPriority w:val="99"/>
    <w:semiHidden/>
    <w:unhideWhenUsed/>
    <w:rsid w:val="00B80753"/>
    <w:rPr>
      <w:b/>
      <w:bCs/>
    </w:rPr>
  </w:style>
  <w:style w:type="character" w:customStyle="1" w:styleId="CommentSubjectChar">
    <w:name w:val="Comment Subject Char"/>
    <w:basedOn w:val="CommentTextChar"/>
    <w:link w:val="CommentSubject"/>
    <w:uiPriority w:val="99"/>
    <w:semiHidden/>
    <w:rsid w:val="00B80753"/>
    <w:rPr>
      <w:rFonts w:ascii="Source Sans Pro" w:hAnsi="Source Sans Pro"/>
      <w:b/>
      <w:bCs/>
      <w:sz w:val="20"/>
      <w:szCs w:val="20"/>
      <w:lang w:val="en-AU"/>
    </w:rPr>
  </w:style>
  <w:style w:type="paragraph" w:styleId="Revision">
    <w:name w:val="Revision"/>
    <w:hidden/>
    <w:uiPriority w:val="99"/>
    <w:semiHidden/>
    <w:rsid w:val="008773DA"/>
    <w:rPr>
      <w:rFonts w:ascii="Source Sans Pro" w:hAnsi="Source Sans Pro"/>
      <w:lang w:val="en-AU"/>
    </w:rPr>
  </w:style>
  <w:style w:type="character" w:styleId="UnresolvedMention">
    <w:name w:val="Unresolved Mention"/>
    <w:basedOn w:val="DefaultParagraphFont"/>
    <w:uiPriority w:val="99"/>
    <w:rsid w:val="00E01522"/>
    <w:rPr>
      <w:color w:val="605E5C"/>
      <w:shd w:val="clear" w:color="auto" w:fill="E1DFDD"/>
    </w:rPr>
  </w:style>
  <w:style w:type="paragraph" w:customStyle="1" w:styleId="Default">
    <w:name w:val="Default"/>
    <w:rsid w:val="00FF7581"/>
    <w:pPr>
      <w:autoSpaceDE w:val="0"/>
      <w:autoSpaceDN w:val="0"/>
      <w:adjustRightInd w:val="0"/>
    </w:pPr>
    <w:rPr>
      <w:rFonts w:ascii="Calibri" w:hAnsi="Calibri" w:cs="Calibri"/>
      <w:color w:val="000000"/>
      <w:lang w:val="en-AU"/>
    </w:rPr>
  </w:style>
  <w:style w:type="paragraph" w:styleId="NormalIndent">
    <w:name w:val="Normal Indent"/>
    <w:basedOn w:val="Normal"/>
    <w:uiPriority w:val="99"/>
    <w:semiHidden/>
    <w:unhideWhenUsed/>
    <w:rsid w:val="00373CBD"/>
    <w:pPr>
      <w:ind w:left="720"/>
    </w:pPr>
  </w:style>
  <w:style w:type="character" w:styleId="Mention">
    <w:name w:val="Mention"/>
    <w:basedOn w:val="DefaultParagraphFont"/>
    <w:uiPriority w:val="99"/>
    <w:rsid w:val="003D2927"/>
    <w:rPr>
      <w:color w:val="2B579A"/>
      <w:shd w:val="clear" w:color="auto" w:fill="E1DFDD"/>
    </w:rPr>
  </w:style>
  <w:style w:type="character" w:styleId="FollowedHyperlink">
    <w:name w:val="FollowedHyperlink"/>
    <w:basedOn w:val="DefaultParagraphFont"/>
    <w:uiPriority w:val="99"/>
    <w:semiHidden/>
    <w:unhideWhenUsed/>
    <w:rsid w:val="00DA0AE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notes.xml.rels><?xml version="1.0" encoding="UTF-8" standalone="yes"?>
<Relationships xmlns="http://schemas.openxmlformats.org/package/2006/relationships"><Relationship Id="rId8" Type="http://schemas.openxmlformats.org/officeDocument/2006/relationships/hyperlink" Target="https://qai.org.au/wp-content/uploads/2023/06/Supported-Decision-Making-Guide-ADA-and-QAI.pdf" TargetMode="External"/><Relationship Id="rId3" Type="http://schemas.openxmlformats.org/officeDocument/2006/relationships/hyperlink" Target="https://www.qhrc.qld.gov.au/about-us/reviews/ada" TargetMode="External"/><Relationship Id="rId7" Type="http://schemas.openxmlformats.org/officeDocument/2006/relationships/hyperlink" Target="https://www.qcat.qld.gov.au/__data/assets/pdf_file/0017/101249/Practice-Direction-8-of-2010-Directions-relating-to-guardianship-matters.pdf" TargetMode="External"/><Relationship Id="rId2" Type="http://schemas.openxmlformats.org/officeDocument/2006/relationships/hyperlink" Target="https://disability.royalcommission.gov.au/system/files/exhibit/STAT.0681.0001.0001.pdf" TargetMode="External"/><Relationship Id="rId1" Type="http://schemas.openxmlformats.org/officeDocument/2006/relationships/hyperlink" Target="https://qidan.org.au/" TargetMode="External"/><Relationship Id="rId6" Type="http://schemas.openxmlformats.org/officeDocument/2006/relationships/hyperlink" Target="https://qai.org.au/wp-content/uploads/2023/12/QAIs-submission-for-the-OPASupported-Decision-Making-publication-.pdf" TargetMode="External"/><Relationship Id="rId11" Type="http://schemas.openxmlformats.org/officeDocument/2006/relationships/hyperlink" Target="https://www.justice.qld.gov.au/__data/assets/pdf_file/0008/820826/litigation-guardianship-issues-in-queensland-final.pdf" TargetMode="External"/><Relationship Id="rId5" Type="http://schemas.openxmlformats.org/officeDocument/2006/relationships/hyperlink" Target="https://www.publications.qld.gov.au/ckan-publications-attachments-prod/resources/a047e052-94d5-4ef8-9ffb-65af28f44d5d/background-paper-3-types-of-jurisdiction.pdf?ETag=85d800983f7355d070614cd0d962f46d" TargetMode="External"/><Relationship Id="rId10" Type="http://schemas.openxmlformats.org/officeDocument/2006/relationships/hyperlink" Target="https://www.qhrc.qld.gov.au/about-us/reviews/ada" TargetMode="External"/><Relationship Id="rId4" Type="http://schemas.openxmlformats.org/officeDocument/2006/relationships/hyperlink" Target="https://www.justice.qld.gov.au/__data/assets/pdf_file/0008/820826/litigation-guardianship-issues-in-queensland-final.pdf" TargetMode="External"/><Relationship Id="rId9" Type="http://schemas.openxmlformats.org/officeDocument/2006/relationships/hyperlink" Target="https://humanrights.gov.au/__data/assets/file/0023/47345/Guidelines-Use-of-Confidentiality-Clauses-Resolution-Workplace-Sexual-Harassment-Complaint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24B067D30BF2499845ACEC545648F0" ma:contentTypeVersion="22" ma:contentTypeDescription="Create a new document." ma:contentTypeScope="" ma:versionID="4d4588f06dcdedeed0441f851931f4d1">
  <xsd:schema xmlns:xsd="http://www.w3.org/2001/XMLSchema" xmlns:xs="http://www.w3.org/2001/XMLSchema" xmlns:p="http://schemas.microsoft.com/office/2006/metadata/properties" xmlns:ns1="http://schemas.microsoft.com/sharepoint/v3" xmlns:ns2="662b4d72-0963-4903-8d1e-908999ea922a" xmlns:ns3="422eb771-ca73-43f7-ae9a-92fcdf6b2d87" targetNamespace="http://schemas.microsoft.com/office/2006/metadata/properties" ma:root="true" ma:fieldsID="9e6ac9d1f69f0a16497584f526a7a113" ns1:_="" ns2:_="" ns3:_="">
    <xsd:import namespace="http://schemas.microsoft.com/sharepoint/v3"/>
    <xsd:import namespace="662b4d72-0963-4903-8d1e-908999ea922a"/>
    <xsd:import namespace="422eb771-ca73-43f7-ae9a-92fcdf6b2d8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1:_ip_UnifiedCompliancePolicyProperties" minOccurs="0"/>
                <xsd:element ref="ns1:_ip_UnifiedCompliancePolicyUIAction" minOccurs="0"/>
                <xsd:element ref="ns2:MediaServiceLocation" minOccurs="0"/>
                <xsd:element ref="ns2:MediaServiceObjectDetectorVersions" minOccurs="0"/>
                <xsd:element ref="ns2:Commnet" minOccurs="0"/>
                <xsd:element ref="ns2:MediaServiceSearchProperties" minOccurs="0"/>
                <xsd:element ref="ns3:_dlc_DocId" minOccurs="0"/>
                <xsd:element ref="ns3:_dlc_DocIdUrl" minOccurs="0"/>
                <xsd:element ref="ns3:_dlc_DocIdPersistI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2b4d72-0963-4903-8d1e-908999ea92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fab6623-b492-42e2-a4a2-e207cea2c5e2"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descrip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Commnet" ma:index="27" nillable="true" ma:displayName="Commnet" ma:format="Dropdown" ma:internalName="Commnet">
      <xsd:simpleType>
        <xsd:restriction base="dms:Text">
          <xsd:maxLength value="255"/>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3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2eb771-ca73-43f7-ae9a-92fcdf6b2d8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09444ad-9253-42c9-be6d-e401742c2274}" ma:internalName="TaxCatchAll" ma:showField="CatchAllData" ma:web="422eb771-ca73-43f7-ae9a-92fcdf6b2d87">
      <xsd:complexType>
        <xsd:complexContent>
          <xsd:extension base="dms:MultiChoiceLookup">
            <xsd:sequence>
              <xsd:element name="Value" type="dms:Lookup" maxOccurs="unbounded" minOccurs="0" nillable="true"/>
            </xsd:sequence>
          </xsd:extension>
        </xsd:complexContent>
      </xsd:complexType>
    </xsd:element>
    <xsd:element name="_dlc_DocId" ma:index="29" nillable="true" ma:displayName="Document ID Value" ma:description="The value of the document ID assigned to this item." ma:indexed="true" ma:internalName="_dlc_DocId" ma:readOnly="true">
      <xsd:simpleType>
        <xsd:restriction base="dms:Text"/>
      </xsd:simpleType>
    </xsd:element>
    <xsd:element name="_dlc_DocIdUrl" ma:index="3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422eb771-ca73-43f7-ae9a-92fcdf6b2d87" xsi:nil="true"/>
    <_ip_UnifiedCompliancePolicyProperties xmlns="http://schemas.microsoft.com/sharepoint/v3" xsi:nil="true"/>
    <SharedWithUsers xmlns="422eb771-ca73-43f7-ae9a-92fcdf6b2d87">
      <UserInfo>
        <DisplayName>Caitlin De Cocq Van Delwijnen</DisplayName>
        <AccountId>42</AccountId>
        <AccountType/>
      </UserInfo>
    </SharedWithUsers>
    <lcf76f155ced4ddcb4097134ff3c332f xmlns="662b4d72-0963-4903-8d1e-908999ea922a">
      <Terms xmlns="http://schemas.microsoft.com/office/infopath/2007/PartnerControls"/>
    </lcf76f155ced4ddcb4097134ff3c332f>
    <Commnet xmlns="662b4d72-0963-4903-8d1e-908999ea922a" xsi:nil="true"/>
    <_dlc_DocId xmlns="422eb771-ca73-43f7-ae9a-92fcdf6b2d87">1234-1248423447-201916</_dlc_DocId>
    <_dlc_DocIdUrl xmlns="422eb771-ca73-43f7-ae9a-92fcdf6b2d87">
      <Url>https://queenslandadvocacy.sharepoint.com/sites/QueenslandAdvocacy/_layouts/15/DocIdRedir.aspx?ID=1234-1248423447-201916</Url>
      <Description>1234-1248423447-201916</Description>
    </_dlc_DocIdUrl>
  </documentManagement>
</p:properties>
</file>

<file path=customXml/itemProps1.xml><?xml version="1.0" encoding="utf-8"?>
<ds:datastoreItem xmlns:ds="http://schemas.openxmlformats.org/officeDocument/2006/customXml" ds:itemID="{C7DB158C-7151-48AD-A550-162C2E3C44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2b4d72-0963-4903-8d1e-908999ea922a"/>
    <ds:schemaRef ds:uri="422eb771-ca73-43f7-ae9a-92fcdf6b2d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037151-AC10-4D51-AFBD-09B9FEB126E3}">
  <ds:schemaRefs>
    <ds:schemaRef ds:uri="http://schemas.microsoft.com/sharepoint/v3/contenttype/forms"/>
  </ds:schemaRefs>
</ds:datastoreItem>
</file>

<file path=customXml/itemProps3.xml><?xml version="1.0" encoding="utf-8"?>
<ds:datastoreItem xmlns:ds="http://schemas.openxmlformats.org/officeDocument/2006/customXml" ds:itemID="{954A3F1D-01C3-499D-93C5-B7EA84808C51}">
  <ds:schemaRefs>
    <ds:schemaRef ds:uri="http://schemas.openxmlformats.org/officeDocument/2006/bibliography"/>
  </ds:schemaRefs>
</ds:datastoreItem>
</file>

<file path=customXml/itemProps4.xml><?xml version="1.0" encoding="utf-8"?>
<ds:datastoreItem xmlns:ds="http://schemas.openxmlformats.org/officeDocument/2006/customXml" ds:itemID="{C6DF7A14-920A-4B18-827F-835108A430DF}">
  <ds:schemaRefs>
    <ds:schemaRef ds:uri="http://schemas.microsoft.com/sharepoint/events"/>
  </ds:schemaRefs>
</ds:datastoreItem>
</file>

<file path=customXml/itemProps5.xml><?xml version="1.0" encoding="utf-8"?>
<ds:datastoreItem xmlns:ds="http://schemas.openxmlformats.org/officeDocument/2006/customXml" ds:itemID="{2420A5F4-A659-4E3C-802A-1593A91C40F9}">
  <ds:schemaRefs>
    <ds:schemaRef ds:uri="http://schemas.microsoft.com/office/2006/metadata/properties"/>
    <ds:schemaRef ds:uri="http://schemas.microsoft.com/office/infopath/2007/PartnerControls"/>
    <ds:schemaRef ds:uri="http://schemas.microsoft.com/sharepoint/v3"/>
    <ds:schemaRef ds:uri="422eb771-ca73-43f7-ae9a-92fcdf6b2d87"/>
    <ds:schemaRef ds:uri="662b4d72-0963-4903-8d1e-908999ea922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6214</Words>
  <Characters>34556</Characters>
  <Application>Microsoft Office Word</Application>
  <DocSecurity>0</DocSecurity>
  <Lines>575</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40565</CharactersWithSpaces>
  <SharedDoc>false</SharedDoc>
  <HLinks>
    <vt:vector size="150" baseType="variant">
      <vt:variant>
        <vt:i4>3014743</vt:i4>
      </vt:variant>
      <vt:variant>
        <vt:i4>30</vt:i4>
      </vt:variant>
      <vt:variant>
        <vt:i4>0</vt:i4>
      </vt:variant>
      <vt:variant>
        <vt:i4>5</vt:i4>
      </vt:variant>
      <vt:variant>
        <vt:lpwstr>https://www.justice.qld.gov.au/__data/assets/pdf_file/0008/820826/litigation-guardianship-issues-in-queensland-final.pdf</vt:lpwstr>
      </vt:variant>
      <vt:variant>
        <vt:lpwstr/>
      </vt:variant>
      <vt:variant>
        <vt:i4>5373963</vt:i4>
      </vt:variant>
      <vt:variant>
        <vt:i4>27</vt:i4>
      </vt:variant>
      <vt:variant>
        <vt:i4>0</vt:i4>
      </vt:variant>
      <vt:variant>
        <vt:i4>5</vt:i4>
      </vt:variant>
      <vt:variant>
        <vt:lpwstr>https://www.qhrc.qld.gov.au/about-us/reviews/ada</vt:lpwstr>
      </vt:variant>
      <vt:variant>
        <vt:lpwstr/>
      </vt:variant>
      <vt:variant>
        <vt:i4>2621496</vt:i4>
      </vt:variant>
      <vt:variant>
        <vt:i4>24</vt:i4>
      </vt:variant>
      <vt:variant>
        <vt:i4>0</vt:i4>
      </vt:variant>
      <vt:variant>
        <vt:i4>5</vt:i4>
      </vt:variant>
      <vt:variant>
        <vt:lpwstr>https://humanrights.gov.au/__data/assets/file/0023/47345/Guidelines-Use-of-Confidentiality-Clauses-Resolution-Workplace-Sexual-Harassment-Complaints.pdf</vt:lpwstr>
      </vt:variant>
      <vt:variant>
        <vt:lpwstr/>
      </vt:variant>
      <vt:variant>
        <vt:i4>5439555</vt:i4>
      </vt:variant>
      <vt:variant>
        <vt:i4>21</vt:i4>
      </vt:variant>
      <vt:variant>
        <vt:i4>0</vt:i4>
      </vt:variant>
      <vt:variant>
        <vt:i4>5</vt:i4>
      </vt:variant>
      <vt:variant>
        <vt:lpwstr>https://qai.org.au/wp-content/uploads/2023/06/Supported-Decision-Making-Guide-ADA-and-QAI.pdf</vt:lpwstr>
      </vt:variant>
      <vt:variant>
        <vt:lpwstr/>
      </vt:variant>
      <vt:variant>
        <vt:i4>7209052</vt:i4>
      </vt:variant>
      <vt:variant>
        <vt:i4>18</vt:i4>
      </vt:variant>
      <vt:variant>
        <vt:i4>0</vt:i4>
      </vt:variant>
      <vt:variant>
        <vt:i4>5</vt:i4>
      </vt:variant>
      <vt:variant>
        <vt:lpwstr>https://www.qcat.qld.gov.au/__data/assets/pdf_file/0017/101249/Practice-Direction-8-of-2010-Directions-relating-to-guardianship-matters.pdf</vt:lpwstr>
      </vt:variant>
      <vt:variant>
        <vt:lpwstr/>
      </vt:variant>
      <vt:variant>
        <vt:i4>6291579</vt:i4>
      </vt:variant>
      <vt:variant>
        <vt:i4>15</vt:i4>
      </vt:variant>
      <vt:variant>
        <vt:i4>0</vt:i4>
      </vt:variant>
      <vt:variant>
        <vt:i4>5</vt:i4>
      </vt:variant>
      <vt:variant>
        <vt:lpwstr>https://qai.org.au/wp-content/uploads/2023/12/QAIs-submission-for-the-OPASupported-Decision-Making-publication-.pdf</vt:lpwstr>
      </vt:variant>
      <vt:variant>
        <vt:lpwstr/>
      </vt:variant>
      <vt:variant>
        <vt:i4>1769484</vt:i4>
      </vt:variant>
      <vt:variant>
        <vt:i4>12</vt:i4>
      </vt:variant>
      <vt:variant>
        <vt:i4>0</vt:i4>
      </vt:variant>
      <vt:variant>
        <vt:i4>5</vt:i4>
      </vt:variant>
      <vt:variant>
        <vt:lpwstr>https://www.publications.qld.gov.au/ckan-publications-attachments-prod/resources/a047e052-94d5-4ef8-9ffb-65af28f44d5d/background-paper-3-types-of-jurisdiction.pdf?ETag=85d800983f7355d070614cd0d962f46d</vt:lpwstr>
      </vt:variant>
      <vt:variant>
        <vt:lpwstr/>
      </vt:variant>
      <vt:variant>
        <vt:i4>3014743</vt:i4>
      </vt:variant>
      <vt:variant>
        <vt:i4>9</vt:i4>
      </vt:variant>
      <vt:variant>
        <vt:i4>0</vt:i4>
      </vt:variant>
      <vt:variant>
        <vt:i4>5</vt:i4>
      </vt:variant>
      <vt:variant>
        <vt:lpwstr>https://www.justice.qld.gov.au/__data/assets/pdf_file/0008/820826/litigation-guardianship-issues-in-queensland-final.pdf</vt:lpwstr>
      </vt:variant>
      <vt:variant>
        <vt:lpwstr/>
      </vt:variant>
      <vt:variant>
        <vt:i4>5373963</vt:i4>
      </vt:variant>
      <vt:variant>
        <vt:i4>6</vt:i4>
      </vt:variant>
      <vt:variant>
        <vt:i4>0</vt:i4>
      </vt:variant>
      <vt:variant>
        <vt:i4>5</vt:i4>
      </vt:variant>
      <vt:variant>
        <vt:lpwstr>https://www.qhrc.qld.gov.au/about-us/reviews/ada</vt:lpwstr>
      </vt:variant>
      <vt:variant>
        <vt:lpwstr/>
      </vt:variant>
      <vt:variant>
        <vt:i4>3014719</vt:i4>
      </vt:variant>
      <vt:variant>
        <vt:i4>3</vt:i4>
      </vt:variant>
      <vt:variant>
        <vt:i4>0</vt:i4>
      </vt:variant>
      <vt:variant>
        <vt:i4>5</vt:i4>
      </vt:variant>
      <vt:variant>
        <vt:lpwstr>https://disability.royalcommission.gov.au/system/files/exhibit/STAT.0681.0001.0001.pdf</vt:lpwstr>
      </vt:variant>
      <vt:variant>
        <vt:lpwstr/>
      </vt:variant>
      <vt:variant>
        <vt:i4>1966162</vt:i4>
      </vt:variant>
      <vt:variant>
        <vt:i4>0</vt:i4>
      </vt:variant>
      <vt:variant>
        <vt:i4>0</vt:i4>
      </vt:variant>
      <vt:variant>
        <vt:i4>5</vt:i4>
      </vt:variant>
      <vt:variant>
        <vt:lpwstr>https://qidan.org.au/</vt:lpwstr>
      </vt:variant>
      <vt:variant>
        <vt:lpwstr/>
      </vt:variant>
      <vt:variant>
        <vt:i4>8323097</vt:i4>
      </vt:variant>
      <vt:variant>
        <vt:i4>39</vt:i4>
      </vt:variant>
      <vt:variant>
        <vt:i4>0</vt:i4>
      </vt:variant>
      <vt:variant>
        <vt:i4>5</vt:i4>
      </vt:variant>
      <vt:variant>
        <vt:lpwstr>mailto:saram@qai.org.au</vt:lpwstr>
      </vt:variant>
      <vt:variant>
        <vt:lpwstr/>
      </vt:variant>
      <vt:variant>
        <vt:i4>8323097</vt:i4>
      </vt:variant>
      <vt:variant>
        <vt:i4>36</vt:i4>
      </vt:variant>
      <vt:variant>
        <vt:i4>0</vt:i4>
      </vt:variant>
      <vt:variant>
        <vt:i4>5</vt:i4>
      </vt:variant>
      <vt:variant>
        <vt:lpwstr>mailto:saram@qai.org.au</vt:lpwstr>
      </vt:variant>
      <vt:variant>
        <vt:lpwstr/>
      </vt:variant>
      <vt:variant>
        <vt:i4>65648</vt:i4>
      </vt:variant>
      <vt:variant>
        <vt:i4>33</vt:i4>
      </vt:variant>
      <vt:variant>
        <vt:i4>0</vt:i4>
      </vt:variant>
      <vt:variant>
        <vt:i4>5</vt:i4>
      </vt:variant>
      <vt:variant>
        <vt:lpwstr>mailto:Shannon@qai.org.au</vt:lpwstr>
      </vt:variant>
      <vt:variant>
        <vt:lpwstr/>
      </vt:variant>
      <vt:variant>
        <vt:i4>8060973</vt:i4>
      </vt:variant>
      <vt:variant>
        <vt:i4>30</vt:i4>
      </vt:variant>
      <vt:variant>
        <vt:i4>0</vt:i4>
      </vt:variant>
      <vt:variant>
        <vt:i4>5</vt:i4>
      </vt:variant>
      <vt:variant>
        <vt:lpwstr>https://qai.org.au/wp-content/uploads/2022/09/Review-of-the-Queensland-Anti-Discrimination-Act-1991-March-2022.pdf</vt:lpwstr>
      </vt:variant>
      <vt:variant>
        <vt:lpwstr/>
      </vt:variant>
      <vt:variant>
        <vt:i4>7995427</vt:i4>
      </vt:variant>
      <vt:variant>
        <vt:i4>27</vt:i4>
      </vt:variant>
      <vt:variant>
        <vt:i4>0</vt:i4>
      </vt:variant>
      <vt:variant>
        <vt:i4>5</vt:i4>
      </vt:variant>
      <vt:variant>
        <vt:lpwstr>https://queenslandadvocacy.sharepoint.com/:w:/r/sites/QueenslandAdvocacy/Services/Systems Advocacy/- GUARDIANSHIP, CAPACITY %26 SUPPORTED DECISION MAKING/QCAT/Allens Memorandum - Health Professional Reports in QCAT(809870957.7).docx?d=wfd50573ce6c1410597d7d40378d1320f&amp;csf=1&amp;web=1&amp;e=h8sK9c</vt:lpwstr>
      </vt:variant>
      <vt:variant>
        <vt:lpwstr/>
      </vt:variant>
      <vt:variant>
        <vt:i4>3670090</vt:i4>
      </vt:variant>
      <vt:variant>
        <vt:i4>24</vt:i4>
      </vt:variant>
      <vt:variant>
        <vt:i4>0</vt:i4>
      </vt:variant>
      <vt:variant>
        <vt:i4>5</vt:i4>
      </vt:variant>
      <vt:variant>
        <vt:lpwstr>https://www.qcat.qld.gov.au/__data/assets/pdf_file/0007/845935/frequently-asked-questions-completing-a-health-professional-report-for-a-guardianship-matter.pdf</vt:lpwstr>
      </vt:variant>
      <vt:variant>
        <vt:lpwstr/>
      </vt:variant>
      <vt:variant>
        <vt:i4>4915252</vt:i4>
      </vt:variant>
      <vt:variant>
        <vt:i4>21</vt:i4>
      </vt:variant>
      <vt:variant>
        <vt:i4>0</vt:i4>
      </vt:variant>
      <vt:variant>
        <vt:i4>5</vt:i4>
      </vt:variant>
      <vt:variant>
        <vt:lpwstr>mailto:Anna@qai.org.au</vt:lpwstr>
      </vt:variant>
      <vt:variant>
        <vt:lpwstr/>
      </vt:variant>
      <vt:variant>
        <vt:i4>8257544</vt:i4>
      </vt:variant>
      <vt:variant>
        <vt:i4>18</vt:i4>
      </vt:variant>
      <vt:variant>
        <vt:i4>0</vt:i4>
      </vt:variant>
      <vt:variant>
        <vt:i4>5</vt:i4>
      </vt:variant>
      <vt:variant>
        <vt:lpwstr>mailto:erica@qai.org.au</vt:lpwstr>
      </vt:variant>
      <vt:variant>
        <vt:lpwstr/>
      </vt:variant>
      <vt:variant>
        <vt:i4>8257544</vt:i4>
      </vt:variant>
      <vt:variant>
        <vt:i4>15</vt:i4>
      </vt:variant>
      <vt:variant>
        <vt:i4>0</vt:i4>
      </vt:variant>
      <vt:variant>
        <vt:i4>5</vt:i4>
      </vt:variant>
      <vt:variant>
        <vt:lpwstr>mailto:erica@qai.org.au</vt:lpwstr>
      </vt:variant>
      <vt:variant>
        <vt:lpwstr/>
      </vt:variant>
      <vt:variant>
        <vt:i4>7798813</vt:i4>
      </vt:variant>
      <vt:variant>
        <vt:i4>12</vt:i4>
      </vt:variant>
      <vt:variant>
        <vt:i4>0</vt:i4>
      </vt:variant>
      <vt:variant>
        <vt:i4>5</vt:i4>
      </vt:variant>
      <vt:variant>
        <vt:lpwstr>mailto:Megan@qai.org.au</vt:lpwstr>
      </vt:variant>
      <vt:variant>
        <vt:lpwstr/>
      </vt:variant>
      <vt:variant>
        <vt:i4>458869</vt:i4>
      </vt:variant>
      <vt:variant>
        <vt:i4>9</vt:i4>
      </vt:variant>
      <vt:variant>
        <vt:i4>0</vt:i4>
      </vt:variant>
      <vt:variant>
        <vt:i4>5</vt:i4>
      </vt:variant>
      <vt:variant>
        <vt:lpwstr>mailto:Matilda@qai.org.au</vt:lpwstr>
      </vt:variant>
      <vt:variant>
        <vt:lpwstr/>
      </vt:variant>
      <vt:variant>
        <vt:i4>7274605</vt:i4>
      </vt:variant>
      <vt:variant>
        <vt:i4>6</vt:i4>
      </vt:variant>
      <vt:variant>
        <vt:i4>0</vt:i4>
      </vt:variant>
      <vt:variant>
        <vt:i4>5</vt:i4>
      </vt:variant>
      <vt:variant>
        <vt:lpwstr>https://www.publications.qld.gov.au/ckan-publications-attachments-prod/resources/e96e8510-abf0-4ec8-bfc9-b3080a289b50/background-paper-4-qcat-decision-makers.pdf?ETag=bd83ab6476a5bd076582ee58d22e7878</vt:lpwstr>
      </vt:variant>
      <vt:variant>
        <vt:lpwstr/>
      </vt:variant>
      <vt:variant>
        <vt:i4>8323097</vt:i4>
      </vt:variant>
      <vt:variant>
        <vt:i4>3</vt:i4>
      </vt:variant>
      <vt:variant>
        <vt:i4>0</vt:i4>
      </vt:variant>
      <vt:variant>
        <vt:i4>5</vt:i4>
      </vt:variant>
      <vt:variant>
        <vt:lpwstr>mailto:saram@qai.org.au</vt:lpwstr>
      </vt:variant>
      <vt:variant>
        <vt:lpwstr/>
      </vt:variant>
      <vt:variant>
        <vt:i4>65648</vt:i4>
      </vt:variant>
      <vt:variant>
        <vt:i4>0</vt:i4>
      </vt:variant>
      <vt:variant>
        <vt:i4>0</vt:i4>
      </vt:variant>
      <vt:variant>
        <vt:i4>5</vt:i4>
      </vt:variant>
      <vt:variant>
        <vt:lpwstr>mailto:Shannon@qai.org.au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Knowles</dc:creator>
  <cp:keywords/>
  <dc:description/>
  <cp:lastModifiedBy>Russel Correa</cp:lastModifiedBy>
  <cp:revision>2</cp:revision>
  <cp:lastPrinted>2026-01-30T06:01:00Z</cp:lastPrinted>
  <dcterms:created xsi:type="dcterms:W3CDTF">2026-02-02T01:14:00Z</dcterms:created>
  <dcterms:modified xsi:type="dcterms:W3CDTF">2026-02-02T01:14:00Z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0x0101000724B067D30BF2499845ACEC545648F0</vt:lpwstr>
  </property>
  <property fmtid="{D5CDD505-2E9C-101B-9397-08002B2CF9AE}" pid="3" name="MediaServiceImageTags">
    <vt:lpwstr/>
  </property>
  <property fmtid="{D5CDD505-2E9C-101B-9397-08002B2CF9AE}" pid="4" name="_dlc_DocIdItemGuid">
    <vt:lpwstr>c98999c6-d96e-44a6-a222-56432da2e9a1</vt:lpwstr>
  </property>
</Properties>
</file>