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00F5" w14:textId="76559037" w:rsidR="003A4839" w:rsidRPr="000E45FF" w:rsidRDefault="005A54E4" w:rsidP="00E52687">
      <w:pPr>
        <w:pStyle w:val="QIDANParagraph"/>
      </w:pPr>
      <w:r w:rsidRPr="000E45FF">
        <w:t>2 October 2026</w:t>
      </w:r>
    </w:p>
    <w:p w14:paraId="1C306A2F" w14:textId="77777777" w:rsidR="004601F1" w:rsidRPr="000E45FF" w:rsidRDefault="004601F1" w:rsidP="00E52687">
      <w:pPr>
        <w:pStyle w:val="QIDANParagraph"/>
        <w:rPr>
          <w:sz w:val="20"/>
        </w:rPr>
      </w:pPr>
    </w:p>
    <w:p w14:paraId="56204EE2" w14:textId="19F2923D" w:rsidR="004601F1" w:rsidRPr="000E45FF" w:rsidRDefault="005A54E4" w:rsidP="00E52687">
      <w:pPr>
        <w:rPr>
          <w:rFonts w:ascii="Nunito Sans" w:hAnsi="Nunito Sans"/>
        </w:rPr>
      </w:pPr>
      <w:r w:rsidRPr="000E45FF">
        <w:rPr>
          <w:rFonts w:ascii="Nunito Sans" w:hAnsi="Nunito Sans"/>
        </w:rPr>
        <w:t>Education, Arts and Communities Committee</w:t>
      </w:r>
    </w:p>
    <w:p w14:paraId="23BC4C75" w14:textId="3BBAC923" w:rsidR="005A54E4" w:rsidRPr="000E45FF" w:rsidRDefault="005A54E4" w:rsidP="00E52687">
      <w:pPr>
        <w:rPr>
          <w:rFonts w:ascii="Nunito Sans" w:hAnsi="Nunito Sans"/>
        </w:rPr>
      </w:pPr>
      <w:r w:rsidRPr="000E45FF">
        <w:rPr>
          <w:rFonts w:ascii="Nunito Sans" w:hAnsi="Nunito Sans"/>
        </w:rPr>
        <w:t>Parliament House</w:t>
      </w:r>
      <w:r w:rsidRPr="000E45FF">
        <w:rPr>
          <w:rFonts w:ascii="Nunito Sans" w:hAnsi="Nunito Sans"/>
        </w:rPr>
        <w:tab/>
      </w:r>
    </w:p>
    <w:p w14:paraId="190F5CA4" w14:textId="4A555A18" w:rsidR="004601F1" w:rsidRPr="000E45FF" w:rsidRDefault="005A54E4" w:rsidP="00E52687">
      <w:pPr>
        <w:rPr>
          <w:rFonts w:ascii="Nunito Sans" w:hAnsi="Nunito Sans"/>
        </w:rPr>
      </w:pPr>
      <w:r w:rsidRPr="000E45FF">
        <w:rPr>
          <w:rFonts w:ascii="Nunito Sans" w:hAnsi="Nunito Sans"/>
        </w:rPr>
        <w:t>George Street</w:t>
      </w:r>
    </w:p>
    <w:p w14:paraId="664CA154" w14:textId="2D6CD641" w:rsidR="005A54E4" w:rsidRPr="000E45FF" w:rsidRDefault="005A54E4" w:rsidP="00E52687">
      <w:pPr>
        <w:rPr>
          <w:rFonts w:ascii="Nunito Sans" w:hAnsi="Nunito Sans"/>
        </w:rPr>
      </w:pPr>
      <w:r w:rsidRPr="000E45FF">
        <w:rPr>
          <w:rFonts w:ascii="Nunito Sans" w:hAnsi="Nunito Sans"/>
        </w:rPr>
        <w:t>Brisbane QLD 4001</w:t>
      </w:r>
    </w:p>
    <w:p w14:paraId="7D61D13F" w14:textId="77777777" w:rsidR="004601F1" w:rsidRPr="000E45FF" w:rsidRDefault="004601F1" w:rsidP="00E52687">
      <w:pPr>
        <w:pStyle w:val="QIDANParagraph"/>
        <w:rPr>
          <w:sz w:val="20"/>
        </w:rPr>
      </w:pPr>
    </w:p>
    <w:p w14:paraId="2CA55DA4" w14:textId="77777777" w:rsidR="004601F1" w:rsidRPr="000E45FF" w:rsidRDefault="004601F1" w:rsidP="00E52687">
      <w:pPr>
        <w:pStyle w:val="QIDANParagraph"/>
        <w:rPr>
          <w:sz w:val="20"/>
        </w:rPr>
      </w:pPr>
    </w:p>
    <w:p w14:paraId="5F062AE0" w14:textId="6D9242FD" w:rsidR="004601F1" w:rsidRPr="000E45FF" w:rsidRDefault="004601F1" w:rsidP="00E52687">
      <w:pPr>
        <w:pStyle w:val="QIDANParagraph"/>
      </w:pPr>
      <w:r w:rsidRPr="000E45FF">
        <w:t xml:space="preserve">Dear </w:t>
      </w:r>
      <w:r w:rsidR="005A54E4" w:rsidRPr="000E45FF">
        <w:t>Education, Arts and Communities Committee,</w:t>
      </w:r>
    </w:p>
    <w:p w14:paraId="07D1C3BE" w14:textId="426B3C89" w:rsidR="00E52687" w:rsidRPr="000E45FF" w:rsidRDefault="005A54E4" w:rsidP="00554966">
      <w:pPr>
        <w:pStyle w:val="QIDANSubheading"/>
        <w:spacing w:line="276" w:lineRule="auto"/>
      </w:pPr>
      <w:r w:rsidRPr="000E45FF">
        <w:t>Domestic and Family Violence Protection and Other Legislation</w:t>
      </w:r>
      <w:r w:rsidR="00554966">
        <w:t xml:space="preserve"> </w:t>
      </w:r>
      <w:r w:rsidRPr="000E45FF">
        <w:t>Amendment Bill 2026</w:t>
      </w:r>
    </w:p>
    <w:p w14:paraId="23E12B08" w14:textId="5DEF950D" w:rsidR="00157445" w:rsidRPr="000E45FF" w:rsidRDefault="0094198A" w:rsidP="00554966">
      <w:pPr>
        <w:pStyle w:val="QIDANParagraph"/>
        <w:spacing w:before="120"/>
      </w:pPr>
      <w:r w:rsidRPr="000E45FF">
        <w:t>The Queensland Independent Disability Advocacy Net</w:t>
      </w:r>
      <w:r w:rsidR="0056541E" w:rsidRPr="000E45FF">
        <w:t xml:space="preserve">work (QIDAN) is a group of organisations funded under the Queensland Disability Advocacy Program to provide individual advocacy assistance to Queenslanders living with disability. QIDAN members offer various independent </w:t>
      </w:r>
      <w:r w:rsidR="00426BA9" w:rsidRPr="000E45FF">
        <w:t>disability advocacy services across Queensland, including</w:t>
      </w:r>
      <w:r w:rsidR="00656228" w:rsidRPr="000E45FF">
        <w:t xml:space="preserve"> </w:t>
      </w:r>
      <w:r w:rsidR="00A82680" w:rsidRPr="000E45FF">
        <w:t xml:space="preserve">support </w:t>
      </w:r>
      <w:r w:rsidR="002730B9" w:rsidRPr="000E45FF">
        <w:t>with navigating</w:t>
      </w:r>
      <w:r w:rsidR="00A82680" w:rsidRPr="000E45FF">
        <w:t xml:space="preserve"> domestic</w:t>
      </w:r>
      <w:r w:rsidR="00D267A2" w:rsidRPr="000E45FF">
        <w:t xml:space="preserve"> and family </w:t>
      </w:r>
      <w:r w:rsidR="00A82680" w:rsidRPr="000E45FF">
        <w:t>violence (DFV) situations.</w:t>
      </w:r>
    </w:p>
    <w:p w14:paraId="47D1ED52" w14:textId="3F4AEAA9" w:rsidR="00D66193" w:rsidRPr="000E45FF" w:rsidRDefault="00E91B98" w:rsidP="007A50FC">
      <w:pPr>
        <w:pStyle w:val="QIDANParagraph"/>
        <w:spacing w:before="120"/>
      </w:pPr>
      <w:r w:rsidRPr="000E45FF">
        <w:t xml:space="preserve">QIDAN </w:t>
      </w:r>
      <w:r w:rsidR="00CA626C" w:rsidRPr="000E45FF">
        <w:t xml:space="preserve">thanks the Committee for the opportunity to respond to the </w:t>
      </w:r>
      <w:r w:rsidR="00360E99" w:rsidRPr="000E45FF">
        <w:t>Domestic and Family Violence Protection and Other Legislation Amendment Bill 2026</w:t>
      </w:r>
      <w:r w:rsidR="009125AE">
        <w:t xml:space="preserve"> (the Bill)</w:t>
      </w:r>
      <w:r w:rsidR="002D07F0" w:rsidRPr="000E45FF">
        <w:t xml:space="preserve"> as </w:t>
      </w:r>
      <w:r w:rsidR="0028511B" w:rsidRPr="000E45FF">
        <w:t xml:space="preserve">recently </w:t>
      </w:r>
      <w:r w:rsidR="002D07F0" w:rsidRPr="000E45FF">
        <w:t>introduced by the Hon</w:t>
      </w:r>
      <w:r w:rsidR="0028511B" w:rsidRPr="000E45FF">
        <w:t xml:space="preserve"> Ann Leahy MP.</w:t>
      </w:r>
      <w:r w:rsidR="00A6464E" w:rsidRPr="000E45FF">
        <w:t xml:space="preserve"> We recogni</w:t>
      </w:r>
      <w:r w:rsidR="000412B4" w:rsidRPr="000E45FF">
        <w:t>s</w:t>
      </w:r>
      <w:r w:rsidR="00A6464E" w:rsidRPr="000E45FF">
        <w:t xml:space="preserve">e that this is the first time in recent years </w:t>
      </w:r>
      <w:r w:rsidR="000412B4" w:rsidRPr="000E45FF">
        <w:t>that your</w:t>
      </w:r>
      <w:r w:rsidR="00A6464E" w:rsidRPr="000E45FF">
        <w:t xml:space="preserve"> committee has considered the operation of civil protection orders.</w:t>
      </w:r>
      <w:r w:rsidR="000412B4" w:rsidRPr="000E45FF">
        <w:t xml:space="preserve"> </w:t>
      </w:r>
    </w:p>
    <w:p w14:paraId="6E60BEED" w14:textId="33FA97C4" w:rsidR="00D66193" w:rsidRPr="000E45FF" w:rsidRDefault="0045243C" w:rsidP="007A50FC">
      <w:pPr>
        <w:pStyle w:val="QIDANParagraph"/>
        <w:spacing w:before="120"/>
        <w:rPr>
          <w:szCs w:val="24"/>
        </w:rPr>
      </w:pPr>
      <w:r w:rsidRPr="000E45FF">
        <w:t xml:space="preserve">Informed by our </w:t>
      </w:r>
      <w:r w:rsidR="009C2D3E" w:rsidRPr="000E45FF">
        <w:t xml:space="preserve">extensive </w:t>
      </w:r>
      <w:r w:rsidRPr="000E45FF">
        <w:t>experience as disability advocates, w</w:t>
      </w:r>
      <w:r w:rsidR="00A6464E" w:rsidRPr="000E45FF">
        <w:t xml:space="preserve">e draw your attention to the lack of appropriately adapted civil processes where a person with impaired decision-making capacity has </w:t>
      </w:r>
      <w:r w:rsidR="00A007AC" w:rsidRPr="000E45FF">
        <w:t>been involved</w:t>
      </w:r>
      <w:r w:rsidR="00A6464E" w:rsidRPr="000E45FF">
        <w:t xml:space="preserve"> in </w:t>
      </w:r>
      <w:r w:rsidR="000822A2" w:rsidRPr="000E45FF">
        <w:t>DFV eithe</w:t>
      </w:r>
      <w:r w:rsidR="00A007AC" w:rsidRPr="000E45FF">
        <w:t>r</w:t>
      </w:r>
      <w:r w:rsidR="000822A2" w:rsidRPr="000E45FF">
        <w:t xml:space="preserve"> </w:t>
      </w:r>
      <w:r w:rsidR="009C2D3E" w:rsidRPr="000E45FF">
        <w:t xml:space="preserve">as the person using violence or </w:t>
      </w:r>
      <w:r w:rsidR="00A007AC" w:rsidRPr="000E45FF">
        <w:t xml:space="preserve">as </w:t>
      </w:r>
      <w:r w:rsidR="009C2D3E" w:rsidRPr="000E45FF">
        <w:t>the victim survivor</w:t>
      </w:r>
      <w:r w:rsidR="00A6464E" w:rsidRPr="000E45FF">
        <w:t>.</w:t>
      </w:r>
      <w:r w:rsidR="003F3AEB" w:rsidRPr="000E45FF">
        <w:t xml:space="preserve"> Moreover,</w:t>
      </w:r>
      <w:r w:rsidR="00D01D72" w:rsidRPr="000E45FF">
        <w:t xml:space="preserve"> QIDAN</w:t>
      </w:r>
      <w:r w:rsidR="003F3AEB" w:rsidRPr="000E45FF">
        <w:t xml:space="preserve"> </w:t>
      </w:r>
      <w:r w:rsidR="00846E75" w:rsidRPr="000E45FF">
        <w:t>is</w:t>
      </w:r>
      <w:r w:rsidR="00496A92" w:rsidRPr="000E45FF">
        <w:t xml:space="preserve"> concerned that the proposed provisions relating to the repeated contraventions of </w:t>
      </w:r>
      <w:r w:rsidR="00496A92" w:rsidRPr="000E45FF">
        <w:rPr>
          <w:szCs w:val="24"/>
        </w:rPr>
        <w:t>Domestic Violence Order</w:t>
      </w:r>
      <w:r w:rsidR="00703CFE" w:rsidRPr="000E45FF">
        <w:rPr>
          <w:szCs w:val="24"/>
        </w:rPr>
        <w:t>s</w:t>
      </w:r>
      <w:r w:rsidR="00496A92" w:rsidRPr="000E45FF">
        <w:rPr>
          <w:szCs w:val="24"/>
        </w:rPr>
        <w:t xml:space="preserve"> (</w:t>
      </w:r>
      <w:r w:rsidR="00496A92" w:rsidRPr="008C6784">
        <w:rPr>
          <w:szCs w:val="24"/>
        </w:rPr>
        <w:t>DVO</w:t>
      </w:r>
      <w:r w:rsidR="00496A92" w:rsidRPr="000E45FF">
        <w:rPr>
          <w:szCs w:val="24"/>
        </w:rPr>
        <w:t>) and Police Protection Direction</w:t>
      </w:r>
      <w:r w:rsidR="00703CFE" w:rsidRPr="000E45FF">
        <w:rPr>
          <w:szCs w:val="24"/>
        </w:rPr>
        <w:t>s</w:t>
      </w:r>
      <w:r w:rsidR="00496A92" w:rsidRPr="000E45FF">
        <w:rPr>
          <w:szCs w:val="24"/>
        </w:rPr>
        <w:t xml:space="preserve"> (</w:t>
      </w:r>
      <w:r w:rsidR="00496A92" w:rsidRPr="008C6784">
        <w:rPr>
          <w:szCs w:val="24"/>
        </w:rPr>
        <w:t>PPD</w:t>
      </w:r>
      <w:r w:rsidR="00496A92" w:rsidRPr="000E45FF">
        <w:rPr>
          <w:szCs w:val="24"/>
        </w:rPr>
        <w:t>)</w:t>
      </w:r>
      <w:r w:rsidR="00D66193" w:rsidRPr="000E45FF">
        <w:rPr>
          <w:szCs w:val="24"/>
        </w:rPr>
        <w:t xml:space="preserve"> </w:t>
      </w:r>
      <w:r w:rsidR="00A007AC" w:rsidRPr="000E45FF">
        <w:rPr>
          <w:szCs w:val="24"/>
        </w:rPr>
        <w:t>are</w:t>
      </w:r>
      <w:r w:rsidR="00846E75" w:rsidRPr="000E45FF">
        <w:rPr>
          <w:szCs w:val="24"/>
        </w:rPr>
        <w:t xml:space="preserve"> contrary </w:t>
      </w:r>
      <w:r w:rsidR="0043766D" w:rsidRPr="000E45FF">
        <w:rPr>
          <w:szCs w:val="24"/>
        </w:rPr>
        <w:t>to the Bill’s intention</w:t>
      </w:r>
      <w:r w:rsidR="00700B1B" w:rsidRPr="000E45FF">
        <w:rPr>
          <w:szCs w:val="24"/>
        </w:rPr>
        <w:t xml:space="preserve">s of improving the accessibility and safety of court </w:t>
      </w:r>
      <w:r w:rsidR="00700B1B" w:rsidRPr="000E45FF" w:rsidDel="00DC5370">
        <w:rPr>
          <w:szCs w:val="24"/>
        </w:rPr>
        <w:t>processes</w:t>
      </w:r>
      <w:r w:rsidR="00DC5370" w:rsidRPr="000E45FF">
        <w:rPr>
          <w:szCs w:val="24"/>
        </w:rPr>
        <w:t xml:space="preserve"> and</w:t>
      </w:r>
      <w:r w:rsidR="00D01D72" w:rsidRPr="000E45FF">
        <w:rPr>
          <w:szCs w:val="24"/>
        </w:rPr>
        <w:t xml:space="preserve"> creating a safer community</w:t>
      </w:r>
      <w:r w:rsidR="006434D4" w:rsidRPr="000E45FF">
        <w:rPr>
          <w:szCs w:val="24"/>
        </w:rPr>
        <w:t xml:space="preserve">. </w:t>
      </w:r>
    </w:p>
    <w:p w14:paraId="625B92B9" w14:textId="21F2316B" w:rsidR="004601F1" w:rsidRPr="000E45FF" w:rsidRDefault="005A54E4" w:rsidP="00A84B0C">
      <w:pPr>
        <w:pStyle w:val="QIDANParagraph"/>
        <w:rPr>
          <w:szCs w:val="24"/>
        </w:rPr>
      </w:pPr>
      <w:r w:rsidRPr="000E45FF">
        <w:t>This submission</w:t>
      </w:r>
      <w:r w:rsidR="006434D4" w:rsidRPr="000E45FF">
        <w:t xml:space="preserve"> and the following recommendations</w:t>
      </w:r>
      <w:r w:rsidRPr="000E45FF">
        <w:t xml:space="preserve"> </w:t>
      </w:r>
      <w:r w:rsidR="006434D4" w:rsidRPr="000E45FF">
        <w:t>are</w:t>
      </w:r>
      <w:r w:rsidRPr="000E45FF">
        <w:t xml:space="preserve"> to be considered alongside </w:t>
      </w:r>
      <w:hyperlink r:id="rId12" w:history="1">
        <w:r w:rsidRPr="000E45FF">
          <w:rPr>
            <w:rStyle w:val="Hyperlink"/>
          </w:rPr>
          <w:t>QIDAN’s submission</w:t>
        </w:r>
      </w:hyperlink>
      <w:r w:rsidRPr="000E45FF">
        <w:t xml:space="preserve"> to the Domestic and Family Violence Protection and Other Legislation Amendment Bill 2025</w:t>
      </w:r>
      <w:r w:rsidR="0094198A" w:rsidRPr="000E45FF">
        <w:t xml:space="preserve"> which outlines our key concerns in relation to </w:t>
      </w:r>
      <w:r w:rsidR="0056541E" w:rsidRPr="000E45FF">
        <w:rPr>
          <w:szCs w:val="24"/>
        </w:rPr>
        <w:t xml:space="preserve">police protection directions and electronic </w:t>
      </w:r>
      <w:r w:rsidR="00291041" w:rsidRPr="000E45FF">
        <w:rPr>
          <w:szCs w:val="24"/>
        </w:rPr>
        <w:t>monitoring</w:t>
      </w:r>
      <w:r w:rsidRPr="000E45FF">
        <w:rPr>
          <w:rStyle w:val="FootnoteReference"/>
          <w:szCs w:val="24"/>
        </w:rPr>
        <w:footnoteReference w:id="1"/>
      </w:r>
      <w:r w:rsidR="00313DD8">
        <w:rPr>
          <w:szCs w:val="24"/>
        </w:rPr>
        <w:t xml:space="preserve">, as well as our </w:t>
      </w:r>
      <w:hyperlink r:id="rId13" w:history="1">
        <w:r w:rsidR="007A566B" w:rsidRPr="00A445A7">
          <w:rPr>
            <w:rStyle w:val="Hyperlink"/>
            <w:szCs w:val="24"/>
          </w:rPr>
          <w:t>Accessible Courts and Tribunals submission</w:t>
        </w:r>
      </w:hyperlink>
      <w:r w:rsidR="0096001E">
        <w:rPr>
          <w:szCs w:val="24"/>
        </w:rPr>
        <w:t xml:space="preserve"> which provide</w:t>
      </w:r>
      <w:r w:rsidR="005D7802">
        <w:rPr>
          <w:szCs w:val="24"/>
        </w:rPr>
        <w:t xml:space="preserve">s </w:t>
      </w:r>
      <w:r w:rsidR="00D84BED" w:rsidRPr="00D84BED">
        <w:rPr>
          <w:szCs w:val="24"/>
        </w:rPr>
        <w:t>practical recommendations to improve accessibility, communication, advocacy support, and accountability within courts and tribunals, helping ensure people with disability can fully participate in legal processes</w:t>
      </w:r>
      <w:r w:rsidR="00D84BED">
        <w:rPr>
          <w:szCs w:val="24"/>
        </w:rPr>
        <w:t>.</w:t>
      </w:r>
      <w:r w:rsidR="00C213C2">
        <w:rPr>
          <w:rStyle w:val="FootnoteReference"/>
          <w:szCs w:val="24"/>
        </w:rPr>
        <w:footnoteReference w:id="2"/>
      </w:r>
      <w:r w:rsidR="00D84BED">
        <w:rPr>
          <w:szCs w:val="24"/>
        </w:rPr>
        <w:t xml:space="preserve"> </w:t>
      </w:r>
    </w:p>
    <w:p w14:paraId="6E18A476" w14:textId="54F88CAF" w:rsidR="003A4839" w:rsidRPr="000E45FF" w:rsidRDefault="00480897" w:rsidP="00554966">
      <w:pPr>
        <w:spacing w:before="120" w:line="360" w:lineRule="auto"/>
        <w:rPr>
          <w:rFonts w:ascii="Nunito Sans" w:hAnsi="Nunito Sans"/>
          <w:b/>
          <w:bCs/>
          <w:color w:val="690048"/>
          <w:sz w:val="28"/>
          <w:szCs w:val="28"/>
        </w:rPr>
      </w:pPr>
      <w:r w:rsidRPr="000E45FF">
        <w:rPr>
          <w:rFonts w:ascii="Nunito Sans" w:hAnsi="Nunito Sans"/>
          <w:b/>
          <w:bCs/>
          <w:color w:val="690048"/>
          <w:sz w:val="28"/>
          <w:szCs w:val="28"/>
        </w:rPr>
        <w:t>QIDAN Recommendations</w:t>
      </w:r>
    </w:p>
    <w:p w14:paraId="3BF8F528" w14:textId="58F89399" w:rsidR="006576E5" w:rsidRPr="000E45FF" w:rsidRDefault="00286C18" w:rsidP="00554966">
      <w:pPr>
        <w:pStyle w:val="ListParagraph"/>
        <w:numPr>
          <w:ilvl w:val="0"/>
          <w:numId w:val="1"/>
        </w:numPr>
        <w:spacing w:line="360" w:lineRule="auto"/>
        <w:ind w:left="426"/>
        <w:rPr>
          <w:rFonts w:ascii="Nunito Sans" w:hAnsi="Nunito Sans"/>
        </w:rPr>
      </w:pPr>
      <w:r w:rsidRPr="000E45FF">
        <w:rPr>
          <w:rFonts w:ascii="Nunito Sans" w:hAnsi="Nunito Sans"/>
        </w:rPr>
        <w:t xml:space="preserve">Amend the </w:t>
      </w:r>
      <w:r w:rsidR="00DA388F" w:rsidRPr="000E45FF">
        <w:rPr>
          <w:rFonts w:ascii="Nunito Sans" w:hAnsi="Nunito Sans"/>
        </w:rPr>
        <w:t>legislation to recognise when a person</w:t>
      </w:r>
      <w:r w:rsidR="006D384E">
        <w:rPr>
          <w:rFonts w:ascii="Nunito Sans" w:hAnsi="Nunito Sans"/>
        </w:rPr>
        <w:t xml:space="preserve"> with disability,</w:t>
      </w:r>
      <w:r w:rsidR="00DA388F" w:rsidRPr="000E45FF">
        <w:rPr>
          <w:rFonts w:ascii="Nunito Sans" w:hAnsi="Nunito Sans"/>
        </w:rPr>
        <w:t xml:space="preserve"> who is name</w:t>
      </w:r>
      <w:r w:rsidR="00AF4F58" w:rsidRPr="000E45FF">
        <w:rPr>
          <w:rFonts w:ascii="Nunito Sans" w:hAnsi="Nunito Sans"/>
        </w:rPr>
        <w:t>d</w:t>
      </w:r>
      <w:r w:rsidR="00DA388F" w:rsidRPr="000E45FF">
        <w:rPr>
          <w:rFonts w:ascii="Nunito Sans" w:hAnsi="Nunito Sans"/>
        </w:rPr>
        <w:t xml:space="preserve"> on a DVO or </w:t>
      </w:r>
      <w:r w:rsidR="00422727" w:rsidRPr="000E45FF">
        <w:rPr>
          <w:rFonts w:ascii="Nunito Sans" w:hAnsi="Nunito Sans"/>
        </w:rPr>
        <w:t>PPD</w:t>
      </w:r>
      <w:r w:rsidR="006D384E">
        <w:rPr>
          <w:rFonts w:ascii="Nunito Sans" w:hAnsi="Nunito Sans"/>
        </w:rPr>
        <w:t>,</w:t>
      </w:r>
      <w:r w:rsidR="00422727" w:rsidRPr="000E45FF">
        <w:rPr>
          <w:rFonts w:ascii="Nunito Sans" w:hAnsi="Nunito Sans"/>
        </w:rPr>
        <w:t xml:space="preserve"> does not have the capacity to understand and comply with the </w:t>
      </w:r>
      <w:r w:rsidR="00E65060">
        <w:rPr>
          <w:rFonts w:ascii="Nunito Sans" w:hAnsi="Nunito Sans"/>
        </w:rPr>
        <w:t>orders</w:t>
      </w:r>
      <w:r w:rsidR="00BC6522" w:rsidRPr="000E45FF">
        <w:rPr>
          <w:rFonts w:ascii="Nunito Sans" w:hAnsi="Nunito Sans"/>
        </w:rPr>
        <w:t>, including for the new offences related to repeat contraventions</w:t>
      </w:r>
      <w:r w:rsidR="00422727" w:rsidRPr="000E45FF">
        <w:rPr>
          <w:rFonts w:ascii="Nunito Sans" w:hAnsi="Nunito Sans"/>
        </w:rPr>
        <w:t xml:space="preserve">. </w:t>
      </w:r>
      <w:r w:rsidR="00860FAA" w:rsidRPr="000E45FF">
        <w:rPr>
          <w:rFonts w:ascii="Nunito Sans" w:hAnsi="Nunito Sans"/>
        </w:rPr>
        <w:t>This must include:</w:t>
      </w:r>
    </w:p>
    <w:p w14:paraId="09DD0E99" w14:textId="507561CC" w:rsidR="00860FAA" w:rsidRPr="000E45FF" w:rsidRDefault="00D41778" w:rsidP="00554966">
      <w:pPr>
        <w:pStyle w:val="ListParagraph"/>
        <w:numPr>
          <w:ilvl w:val="0"/>
          <w:numId w:val="2"/>
        </w:numPr>
        <w:spacing w:line="360" w:lineRule="auto"/>
        <w:ind w:left="1134"/>
        <w:rPr>
          <w:rFonts w:ascii="Nunito Sans" w:hAnsi="Nunito Sans"/>
        </w:rPr>
      </w:pPr>
      <w:r w:rsidRPr="000E45FF">
        <w:rPr>
          <w:rFonts w:ascii="Nunito Sans" w:hAnsi="Nunito Sans"/>
        </w:rPr>
        <w:t>Introducing</w:t>
      </w:r>
      <w:r w:rsidR="00BC6522" w:rsidRPr="000E45FF">
        <w:rPr>
          <w:rFonts w:ascii="Nunito Sans" w:hAnsi="Nunito Sans"/>
        </w:rPr>
        <w:t xml:space="preserve"> a provision similar to section 172 of the </w:t>
      </w:r>
      <w:r w:rsidR="00BC6522" w:rsidRPr="000E45FF">
        <w:rPr>
          <w:rFonts w:ascii="Nunito Sans" w:hAnsi="Nunito Sans"/>
          <w:i/>
          <w:iCs/>
        </w:rPr>
        <w:t xml:space="preserve">Mental Health </w:t>
      </w:r>
      <w:r w:rsidR="00307EC6" w:rsidRPr="000E45FF">
        <w:rPr>
          <w:rFonts w:ascii="Nunito Sans" w:hAnsi="Nunito Sans"/>
          <w:i/>
          <w:iCs/>
        </w:rPr>
        <w:t xml:space="preserve">Act 2016 (Qld) </w:t>
      </w:r>
      <w:r w:rsidR="006A62E7" w:rsidRPr="000E45FF">
        <w:rPr>
          <w:rFonts w:ascii="Nunito Sans" w:hAnsi="Nunito Sans"/>
        </w:rPr>
        <w:t>(</w:t>
      </w:r>
      <w:r w:rsidR="006A62E7" w:rsidRPr="008C6784">
        <w:rPr>
          <w:rFonts w:ascii="Nunito Sans" w:hAnsi="Nunito Sans"/>
          <w:i/>
        </w:rPr>
        <w:t>MHA</w:t>
      </w:r>
      <w:r w:rsidR="006A62E7" w:rsidRPr="000E45FF">
        <w:rPr>
          <w:rFonts w:ascii="Nunito Sans" w:hAnsi="Nunito Sans"/>
        </w:rPr>
        <w:t xml:space="preserve">) </w:t>
      </w:r>
      <w:r w:rsidR="00307EC6" w:rsidRPr="000E45FF">
        <w:rPr>
          <w:rFonts w:ascii="Nunito Sans" w:hAnsi="Nunito Sans"/>
        </w:rPr>
        <w:t xml:space="preserve">which gives magistrates the awareness of and power to dismiss </w:t>
      </w:r>
      <w:r w:rsidR="003F727D" w:rsidRPr="000E45FF">
        <w:rPr>
          <w:rFonts w:ascii="Nunito Sans" w:hAnsi="Nunito Sans"/>
        </w:rPr>
        <w:t>a complaint based on a person with disability’s perceived unfitness for trial.</w:t>
      </w:r>
    </w:p>
    <w:p w14:paraId="45B4ADD7" w14:textId="5B30AD44" w:rsidR="003F727D" w:rsidRPr="000E45FF" w:rsidRDefault="00D41778" w:rsidP="00554966">
      <w:pPr>
        <w:pStyle w:val="ListParagraph"/>
        <w:numPr>
          <w:ilvl w:val="0"/>
          <w:numId w:val="2"/>
        </w:numPr>
        <w:spacing w:line="360" w:lineRule="auto"/>
        <w:ind w:left="1134"/>
        <w:rPr>
          <w:rFonts w:ascii="Nunito Sans" w:hAnsi="Nunito Sans"/>
        </w:rPr>
      </w:pPr>
      <w:r w:rsidRPr="000E45FF">
        <w:rPr>
          <w:rFonts w:ascii="Nunito Sans" w:hAnsi="Nunito Sans"/>
        </w:rPr>
        <w:t xml:space="preserve">Amending </w:t>
      </w:r>
      <w:r w:rsidR="00AA4117" w:rsidRPr="000E45FF">
        <w:rPr>
          <w:rFonts w:ascii="Nunito Sans" w:hAnsi="Nunito Sans"/>
        </w:rPr>
        <w:t>the element of</w:t>
      </w:r>
      <w:r w:rsidR="0060624E" w:rsidRPr="000E45FF">
        <w:rPr>
          <w:rFonts w:ascii="Nunito Sans" w:hAnsi="Nunito Sans"/>
        </w:rPr>
        <w:t xml:space="preserve"> </w:t>
      </w:r>
      <w:r w:rsidR="00323722" w:rsidRPr="000E45FF">
        <w:rPr>
          <w:rFonts w:ascii="Nunito Sans" w:hAnsi="Nunito Sans"/>
        </w:rPr>
        <w:t xml:space="preserve">awareness </w:t>
      </w:r>
      <w:r w:rsidR="00AB1683" w:rsidRPr="000E45FF">
        <w:rPr>
          <w:rFonts w:ascii="Nunito Sans" w:hAnsi="Nunito Sans"/>
        </w:rPr>
        <w:t xml:space="preserve">for </w:t>
      </w:r>
      <w:r w:rsidR="00F2072E" w:rsidRPr="000E45FF">
        <w:rPr>
          <w:rFonts w:ascii="Nunito Sans" w:hAnsi="Nunito Sans"/>
        </w:rPr>
        <w:t xml:space="preserve">the new offences related to </w:t>
      </w:r>
      <w:r w:rsidR="00AB1683" w:rsidRPr="000E45FF">
        <w:rPr>
          <w:rFonts w:ascii="Nunito Sans" w:hAnsi="Nunito Sans"/>
        </w:rPr>
        <w:t>repeat contraventions to</w:t>
      </w:r>
      <w:r w:rsidR="00F2072E" w:rsidRPr="000E45FF">
        <w:rPr>
          <w:rFonts w:ascii="Nunito Sans" w:hAnsi="Nunito Sans"/>
        </w:rPr>
        <w:t xml:space="preserve"> align with section 84 of the </w:t>
      </w:r>
      <w:r w:rsidR="003423E0" w:rsidRPr="000E45FF">
        <w:rPr>
          <w:rFonts w:ascii="Nunito Sans" w:hAnsi="Nunito Sans"/>
          <w:i/>
          <w:iCs/>
        </w:rPr>
        <w:t xml:space="preserve">Domestic and Family Violence Protection Act </w:t>
      </w:r>
      <w:r w:rsidR="00AB458D" w:rsidRPr="000E45FF">
        <w:rPr>
          <w:rFonts w:ascii="Nunito Sans" w:hAnsi="Nunito Sans"/>
          <w:i/>
          <w:iCs/>
        </w:rPr>
        <w:t>2012</w:t>
      </w:r>
      <w:r w:rsidR="006A62E7" w:rsidRPr="000E45FF">
        <w:rPr>
          <w:rFonts w:ascii="Nunito Sans" w:hAnsi="Nunito Sans"/>
          <w:i/>
          <w:iCs/>
        </w:rPr>
        <w:t xml:space="preserve"> </w:t>
      </w:r>
      <w:r w:rsidR="006A62E7" w:rsidRPr="000E45FF">
        <w:rPr>
          <w:rFonts w:ascii="Nunito Sans" w:hAnsi="Nunito Sans"/>
        </w:rPr>
        <w:t>(</w:t>
      </w:r>
      <w:r w:rsidR="006A62E7" w:rsidRPr="008C6784">
        <w:rPr>
          <w:rFonts w:ascii="Nunito Sans" w:hAnsi="Nunito Sans"/>
          <w:i/>
        </w:rPr>
        <w:t>DVPA</w:t>
      </w:r>
      <w:r w:rsidR="006A62E7" w:rsidRPr="000E45FF">
        <w:rPr>
          <w:rFonts w:ascii="Nunito Sans" w:hAnsi="Nunito Sans"/>
        </w:rPr>
        <w:t>)</w:t>
      </w:r>
      <w:r w:rsidR="00C93958" w:rsidRPr="000E45FF">
        <w:rPr>
          <w:rFonts w:ascii="Nunito Sans" w:hAnsi="Nunito Sans"/>
        </w:rPr>
        <w:t>. That is,</w:t>
      </w:r>
      <w:r w:rsidR="00947A8E" w:rsidRPr="000E45FF">
        <w:rPr>
          <w:rFonts w:ascii="Nunito Sans" w:hAnsi="Nunito Sans"/>
        </w:rPr>
        <w:t xml:space="preserve"> a person will be aware if they understand the nature, purpose and legal implications </w:t>
      </w:r>
      <w:r w:rsidR="001D0BB7" w:rsidRPr="000E45FF">
        <w:rPr>
          <w:rFonts w:ascii="Nunito Sans" w:hAnsi="Nunito Sans"/>
        </w:rPr>
        <w:t>of the DVO or PPD.</w:t>
      </w:r>
    </w:p>
    <w:p w14:paraId="00244437" w14:textId="5015F483" w:rsidR="00E64F6B" w:rsidRPr="000E45FF" w:rsidRDefault="00BF6514" w:rsidP="00554966">
      <w:pPr>
        <w:pStyle w:val="ListParagraph"/>
        <w:numPr>
          <w:ilvl w:val="0"/>
          <w:numId w:val="1"/>
        </w:numPr>
        <w:spacing w:line="360" w:lineRule="auto"/>
        <w:ind w:left="426"/>
        <w:rPr>
          <w:rFonts w:ascii="Nunito Sans" w:hAnsi="Nunito Sans"/>
        </w:rPr>
      </w:pPr>
      <w:r w:rsidRPr="000E45FF">
        <w:rPr>
          <w:rFonts w:ascii="Nunito Sans" w:hAnsi="Nunito Sans"/>
        </w:rPr>
        <w:t xml:space="preserve">Improve training on disability awareness and access to disability information for Queensland law enforcement </w:t>
      </w:r>
      <w:r w:rsidR="00196483" w:rsidRPr="000E45FF">
        <w:rPr>
          <w:rFonts w:ascii="Nunito Sans" w:hAnsi="Nunito Sans"/>
        </w:rPr>
        <w:t>officials.</w:t>
      </w:r>
      <w:r w:rsidR="00E25D59" w:rsidRPr="000E45FF">
        <w:rPr>
          <w:rFonts w:ascii="Nunito Sans" w:hAnsi="Nunito Sans"/>
        </w:rPr>
        <w:t xml:space="preserve"> </w:t>
      </w:r>
      <w:r w:rsidR="000C5CD7" w:rsidRPr="000E45FF">
        <w:rPr>
          <w:rFonts w:ascii="Nunito Sans" w:hAnsi="Nunito Sans"/>
        </w:rPr>
        <w:t>In line with recommendation 8.20</w:t>
      </w:r>
      <w:r w:rsidR="006576E5" w:rsidRPr="000E45FF">
        <w:rPr>
          <w:rFonts w:ascii="Nunito Sans" w:hAnsi="Nunito Sans"/>
        </w:rPr>
        <w:t xml:space="preserve"> </w:t>
      </w:r>
      <w:r w:rsidR="00CB0D6F" w:rsidRPr="000E45FF">
        <w:rPr>
          <w:rFonts w:ascii="Nunito Sans" w:hAnsi="Nunito Sans"/>
        </w:rPr>
        <w:t>of the D</w:t>
      </w:r>
      <w:r w:rsidR="00675BF9" w:rsidRPr="000E45FF">
        <w:rPr>
          <w:rFonts w:ascii="Nunito Sans" w:hAnsi="Nunito Sans"/>
        </w:rPr>
        <w:t xml:space="preserve">isability </w:t>
      </w:r>
      <w:r w:rsidR="00CB0D6F" w:rsidRPr="000E45FF">
        <w:rPr>
          <w:rFonts w:ascii="Nunito Sans" w:hAnsi="Nunito Sans"/>
        </w:rPr>
        <w:t>R</w:t>
      </w:r>
      <w:r w:rsidR="00675BF9" w:rsidRPr="000E45FF">
        <w:rPr>
          <w:rFonts w:ascii="Nunito Sans" w:hAnsi="Nunito Sans"/>
        </w:rPr>
        <w:t xml:space="preserve">oyal </w:t>
      </w:r>
      <w:r w:rsidR="00CB0D6F" w:rsidRPr="000E45FF">
        <w:rPr>
          <w:rFonts w:ascii="Nunito Sans" w:hAnsi="Nunito Sans"/>
        </w:rPr>
        <w:t>C</w:t>
      </w:r>
      <w:r w:rsidR="00675BF9" w:rsidRPr="000E45FF">
        <w:rPr>
          <w:rFonts w:ascii="Nunito Sans" w:hAnsi="Nunito Sans"/>
        </w:rPr>
        <w:t>ommission</w:t>
      </w:r>
      <w:r w:rsidR="00CB0D6F" w:rsidRPr="000E45FF">
        <w:rPr>
          <w:rFonts w:ascii="Nunito Sans" w:hAnsi="Nunito Sans"/>
        </w:rPr>
        <w:t xml:space="preserve"> Final Report</w:t>
      </w:r>
      <w:r w:rsidR="000C5CD7" w:rsidRPr="000E45FF">
        <w:rPr>
          <w:rFonts w:ascii="Nunito Sans" w:hAnsi="Nunito Sans"/>
        </w:rPr>
        <w:t>,</w:t>
      </w:r>
      <w:r w:rsidR="000F4E8D" w:rsidRPr="000E45FF">
        <w:rPr>
          <w:rFonts w:ascii="Nunito Sans" w:hAnsi="Nunito Sans"/>
        </w:rPr>
        <w:t xml:space="preserve"> police services should collaborate with people with disability in the co-design, implementation and </w:t>
      </w:r>
      <w:r w:rsidR="006576E5" w:rsidRPr="000E45FF">
        <w:rPr>
          <w:rFonts w:ascii="Nunito Sans" w:hAnsi="Nunito Sans"/>
        </w:rPr>
        <w:t>evaluation of strategies to improve police responses to people with disability.</w:t>
      </w:r>
      <w:r w:rsidR="00675BF9" w:rsidRPr="000E45FF">
        <w:rPr>
          <w:rStyle w:val="FootnoteReference"/>
          <w:rFonts w:ascii="Nunito Sans" w:hAnsi="Nunito Sans"/>
        </w:rPr>
        <w:footnoteReference w:id="3"/>
      </w:r>
    </w:p>
    <w:p w14:paraId="72939D76" w14:textId="361152F3" w:rsidR="00D774C0" w:rsidRPr="000E45FF" w:rsidRDefault="003216DC" w:rsidP="00554966">
      <w:pPr>
        <w:pStyle w:val="ListParagraph"/>
        <w:numPr>
          <w:ilvl w:val="0"/>
          <w:numId w:val="1"/>
        </w:numPr>
        <w:spacing w:line="360" w:lineRule="auto"/>
        <w:ind w:left="426"/>
        <w:rPr>
          <w:rFonts w:ascii="Nunito Sans" w:hAnsi="Nunito Sans"/>
        </w:rPr>
      </w:pPr>
      <w:r w:rsidRPr="000E45FF">
        <w:rPr>
          <w:rFonts w:ascii="Nunito Sans" w:hAnsi="Nunito Sans"/>
        </w:rPr>
        <w:t xml:space="preserve">Fund a </w:t>
      </w:r>
      <w:r w:rsidR="007361B1" w:rsidRPr="000E45FF">
        <w:rPr>
          <w:rFonts w:ascii="Nunito Sans" w:hAnsi="Nunito Sans"/>
        </w:rPr>
        <w:t>pilot</w:t>
      </w:r>
      <w:r w:rsidR="005A5DF5" w:rsidRPr="000E45FF">
        <w:rPr>
          <w:rFonts w:ascii="Nunito Sans" w:hAnsi="Nunito Sans"/>
        </w:rPr>
        <w:t xml:space="preserve"> Justice Support DFV program to provide disability a</w:t>
      </w:r>
      <w:r w:rsidR="000D677B" w:rsidRPr="000E45FF">
        <w:rPr>
          <w:rFonts w:ascii="Nunito Sans" w:hAnsi="Nunito Sans"/>
        </w:rPr>
        <w:t>dvocacy to people in the criminal justice system.</w:t>
      </w:r>
    </w:p>
    <w:p w14:paraId="19D16418" w14:textId="138E8EAC" w:rsidR="000858A7" w:rsidRPr="000E45FF" w:rsidRDefault="00D774C0" w:rsidP="00524E56">
      <w:pPr>
        <w:pStyle w:val="QIDANParagraph"/>
        <w:rPr>
          <w:b/>
          <w:bCs/>
          <w:color w:val="690048"/>
        </w:rPr>
      </w:pPr>
      <w:r w:rsidRPr="000E45FF">
        <w:rPr>
          <w:b/>
          <w:bCs/>
          <w:color w:val="690048"/>
        </w:rPr>
        <w:t>J</w:t>
      </w:r>
      <w:r w:rsidR="000858A7" w:rsidRPr="000E45FF">
        <w:rPr>
          <w:b/>
          <w:bCs/>
          <w:color w:val="690048"/>
        </w:rPr>
        <w:t xml:space="preserve">ustice responses to DFV </w:t>
      </w:r>
      <w:r w:rsidRPr="000E45FF">
        <w:rPr>
          <w:b/>
          <w:bCs/>
          <w:color w:val="690048"/>
        </w:rPr>
        <w:t xml:space="preserve">cannot be strengthened </w:t>
      </w:r>
      <w:r w:rsidR="00477EE2" w:rsidRPr="000E45FF">
        <w:rPr>
          <w:b/>
          <w:bCs/>
          <w:color w:val="690048"/>
        </w:rPr>
        <w:t xml:space="preserve">if they are inaccessible </w:t>
      </w:r>
      <w:r w:rsidR="006D2E40" w:rsidRPr="000E45FF">
        <w:rPr>
          <w:b/>
          <w:bCs/>
          <w:color w:val="690048"/>
        </w:rPr>
        <w:t>and over criminalising</w:t>
      </w:r>
      <w:r w:rsidR="00477EE2" w:rsidRPr="000E45FF">
        <w:rPr>
          <w:b/>
          <w:bCs/>
          <w:color w:val="690048"/>
        </w:rPr>
        <w:t xml:space="preserve"> people with disability</w:t>
      </w:r>
    </w:p>
    <w:p w14:paraId="16912BA6" w14:textId="3BA92202" w:rsidR="002C6FBD" w:rsidRPr="000E45FF" w:rsidRDefault="002C6FBD" w:rsidP="007A50FC">
      <w:pPr>
        <w:pStyle w:val="QIDANParagraph"/>
        <w:spacing w:before="120"/>
        <w:rPr>
          <w:szCs w:val="24"/>
        </w:rPr>
      </w:pPr>
      <w:r w:rsidRPr="000E45FF">
        <w:rPr>
          <w:szCs w:val="24"/>
        </w:rPr>
        <w:t xml:space="preserve">Over time, QIDAN has observed </w:t>
      </w:r>
      <w:r w:rsidR="00B70B55" w:rsidRPr="000E45FF">
        <w:rPr>
          <w:szCs w:val="24"/>
        </w:rPr>
        <w:t>an increase in the number of</w:t>
      </w:r>
      <w:r w:rsidRPr="000E45FF">
        <w:rPr>
          <w:szCs w:val="24"/>
        </w:rPr>
        <w:t xml:space="preserve"> people with disability being named as respondents to civil DVOs despite not </w:t>
      </w:r>
      <w:r w:rsidR="00B70B55" w:rsidRPr="000E45FF">
        <w:rPr>
          <w:szCs w:val="24"/>
        </w:rPr>
        <w:t>understanding</w:t>
      </w:r>
      <w:r w:rsidRPr="000E45FF">
        <w:rPr>
          <w:szCs w:val="24"/>
        </w:rPr>
        <w:t xml:space="preserve"> the order </w:t>
      </w:r>
      <w:r w:rsidR="00B70B55" w:rsidRPr="000E45FF">
        <w:rPr>
          <w:szCs w:val="24"/>
        </w:rPr>
        <w:t>or its conditions</w:t>
      </w:r>
      <w:r w:rsidRPr="000E45FF">
        <w:rPr>
          <w:szCs w:val="24"/>
        </w:rPr>
        <w:t>. In Queensland, criminal law allow</w:t>
      </w:r>
      <w:r w:rsidR="00B70B55" w:rsidRPr="000E45FF">
        <w:rPr>
          <w:szCs w:val="24"/>
        </w:rPr>
        <w:t>s</w:t>
      </w:r>
      <w:r w:rsidRPr="000E45FF">
        <w:rPr>
          <w:szCs w:val="24"/>
        </w:rPr>
        <w:t xml:space="preserve"> for a finding of unsound mind or unfitness for trial with alternative processes, however, there are no equivalent </w:t>
      </w:r>
      <w:r w:rsidR="0007283E" w:rsidRPr="000E45FF">
        <w:rPr>
          <w:szCs w:val="24"/>
        </w:rPr>
        <w:t>provisions</w:t>
      </w:r>
      <w:r w:rsidRPr="000E45FF">
        <w:rPr>
          <w:szCs w:val="24"/>
        </w:rPr>
        <w:t xml:space="preserve"> </w:t>
      </w:r>
      <w:r w:rsidR="002D2537" w:rsidRPr="000E45FF">
        <w:rPr>
          <w:szCs w:val="24"/>
        </w:rPr>
        <w:t>at</w:t>
      </w:r>
      <w:r w:rsidRPr="000E45FF">
        <w:rPr>
          <w:szCs w:val="24"/>
        </w:rPr>
        <w:t xml:space="preserve"> civil law </w:t>
      </w:r>
      <w:r w:rsidR="00894FDF" w:rsidRPr="000E45FF">
        <w:rPr>
          <w:szCs w:val="24"/>
        </w:rPr>
        <w:t>for DFV legislation</w:t>
      </w:r>
      <w:r w:rsidRPr="000E45FF">
        <w:rPr>
          <w:szCs w:val="24"/>
        </w:rPr>
        <w:t xml:space="preserve">. </w:t>
      </w:r>
      <w:r w:rsidR="00C91D61" w:rsidRPr="000E45FF">
        <w:rPr>
          <w:szCs w:val="24"/>
        </w:rPr>
        <w:t>In our experience, t</w:t>
      </w:r>
      <w:r w:rsidRPr="000E45FF">
        <w:rPr>
          <w:szCs w:val="24"/>
        </w:rPr>
        <w:t xml:space="preserve">his means that people </w:t>
      </w:r>
      <w:r w:rsidR="0007283E" w:rsidRPr="000E45FF">
        <w:rPr>
          <w:szCs w:val="24"/>
        </w:rPr>
        <w:t>with</w:t>
      </w:r>
      <w:r w:rsidRPr="000E45FF">
        <w:rPr>
          <w:szCs w:val="24"/>
        </w:rPr>
        <w:t xml:space="preserve"> no capacity to understand </w:t>
      </w:r>
      <w:r w:rsidR="0007283E" w:rsidRPr="000E45FF">
        <w:rPr>
          <w:szCs w:val="24"/>
        </w:rPr>
        <w:t>DVOs</w:t>
      </w:r>
      <w:r w:rsidR="00D97748" w:rsidRPr="000E45FF">
        <w:rPr>
          <w:szCs w:val="24"/>
        </w:rPr>
        <w:t>, or more recently PPDs,</w:t>
      </w:r>
      <w:r w:rsidRPr="000E45FF">
        <w:rPr>
          <w:szCs w:val="24"/>
        </w:rPr>
        <w:t xml:space="preserve"> are nevertheless name</w:t>
      </w:r>
      <w:r w:rsidR="0007283E" w:rsidRPr="000E45FF">
        <w:rPr>
          <w:szCs w:val="24"/>
        </w:rPr>
        <w:t>d</w:t>
      </w:r>
      <w:r w:rsidRPr="000E45FF">
        <w:rPr>
          <w:szCs w:val="24"/>
        </w:rPr>
        <w:t xml:space="preserve"> as respondents to an order</w:t>
      </w:r>
      <w:r w:rsidR="00B045B0" w:rsidRPr="000E45FF">
        <w:rPr>
          <w:szCs w:val="24"/>
        </w:rPr>
        <w:t xml:space="preserve"> and</w:t>
      </w:r>
      <w:r w:rsidR="00D97748" w:rsidRPr="000E45FF">
        <w:rPr>
          <w:szCs w:val="24"/>
        </w:rPr>
        <w:t xml:space="preserve">, </w:t>
      </w:r>
      <w:r w:rsidR="00B045B0" w:rsidRPr="000E45FF">
        <w:rPr>
          <w:szCs w:val="24"/>
        </w:rPr>
        <w:t>c</w:t>
      </w:r>
      <w:r w:rsidR="00FF480B" w:rsidRPr="000E45FF">
        <w:rPr>
          <w:szCs w:val="24"/>
        </w:rPr>
        <w:t xml:space="preserve">onsequently, </w:t>
      </w:r>
      <w:r w:rsidRPr="000E45FF">
        <w:rPr>
          <w:szCs w:val="24"/>
        </w:rPr>
        <w:t>unable to effectively engage with court processes</w:t>
      </w:r>
      <w:r w:rsidR="00FF480B" w:rsidRPr="000E45FF">
        <w:rPr>
          <w:szCs w:val="24"/>
        </w:rPr>
        <w:t xml:space="preserve"> and </w:t>
      </w:r>
      <w:r w:rsidRPr="000E45FF">
        <w:rPr>
          <w:szCs w:val="24"/>
        </w:rPr>
        <w:t>incur subsequent criminal convictions when the orders are inevitabl</w:t>
      </w:r>
      <w:r w:rsidR="00FF480B" w:rsidRPr="000E45FF">
        <w:rPr>
          <w:szCs w:val="24"/>
        </w:rPr>
        <w:t>y</w:t>
      </w:r>
      <w:r w:rsidRPr="000E45FF">
        <w:rPr>
          <w:szCs w:val="24"/>
        </w:rPr>
        <w:t xml:space="preserve"> </w:t>
      </w:r>
      <w:r w:rsidR="00FF480B" w:rsidRPr="000E45FF">
        <w:rPr>
          <w:szCs w:val="24"/>
        </w:rPr>
        <w:t>breached.</w:t>
      </w:r>
      <w:r w:rsidRPr="000E45FF">
        <w:rPr>
          <w:szCs w:val="24"/>
        </w:rPr>
        <w:t xml:space="preserve"> </w:t>
      </w:r>
      <w:r w:rsidR="00B045B0" w:rsidRPr="000E45FF">
        <w:rPr>
          <w:szCs w:val="24"/>
        </w:rPr>
        <w:t>For victim surviv</w:t>
      </w:r>
      <w:r w:rsidR="004977F9" w:rsidRPr="000E45FF">
        <w:rPr>
          <w:szCs w:val="24"/>
        </w:rPr>
        <w:t>ors this means that they</w:t>
      </w:r>
      <w:r w:rsidRPr="000E45FF">
        <w:rPr>
          <w:szCs w:val="24"/>
        </w:rPr>
        <w:t xml:space="preserve"> are afforded inadequate and false protection.</w:t>
      </w:r>
    </w:p>
    <w:p w14:paraId="01CB6671" w14:textId="6A44AC57" w:rsidR="00A01579" w:rsidRPr="000E45FF" w:rsidRDefault="00B06502" w:rsidP="007A50FC">
      <w:pPr>
        <w:pStyle w:val="QIDANParagraph"/>
        <w:spacing w:before="120"/>
        <w:rPr>
          <w:szCs w:val="24"/>
        </w:rPr>
      </w:pPr>
      <w:r>
        <w:rPr>
          <w:szCs w:val="24"/>
        </w:rPr>
        <w:t xml:space="preserve">A common example that we see </w:t>
      </w:r>
      <w:r w:rsidR="00F66CF3">
        <w:rPr>
          <w:szCs w:val="24"/>
        </w:rPr>
        <w:t xml:space="preserve">of </w:t>
      </w:r>
      <w:r>
        <w:rPr>
          <w:szCs w:val="24"/>
        </w:rPr>
        <w:t xml:space="preserve">this in our role as disability advocates is when </w:t>
      </w:r>
      <w:r w:rsidR="00204635">
        <w:rPr>
          <w:szCs w:val="24"/>
        </w:rPr>
        <w:t xml:space="preserve">a person with a cognitive or intellectual disability </w:t>
      </w:r>
      <w:r w:rsidR="00BD0B98">
        <w:rPr>
          <w:szCs w:val="24"/>
        </w:rPr>
        <w:t xml:space="preserve">has </w:t>
      </w:r>
      <w:r w:rsidR="00820475">
        <w:rPr>
          <w:szCs w:val="24"/>
        </w:rPr>
        <w:t xml:space="preserve">a DVO in place and they are named as the </w:t>
      </w:r>
      <w:r w:rsidR="00556F0D">
        <w:rPr>
          <w:szCs w:val="24"/>
        </w:rPr>
        <w:t>respondent</w:t>
      </w:r>
      <w:r w:rsidR="00814910">
        <w:rPr>
          <w:szCs w:val="24"/>
        </w:rPr>
        <w:t xml:space="preserve"> for using violence against a previous partner</w:t>
      </w:r>
      <w:r w:rsidR="008F4AD1">
        <w:rPr>
          <w:szCs w:val="24"/>
        </w:rPr>
        <w:t xml:space="preserve">. </w:t>
      </w:r>
      <w:r w:rsidR="0005354B">
        <w:rPr>
          <w:szCs w:val="24"/>
        </w:rPr>
        <w:t xml:space="preserve">There was </w:t>
      </w:r>
      <w:r w:rsidR="00002CFD">
        <w:rPr>
          <w:szCs w:val="24"/>
        </w:rPr>
        <w:t xml:space="preserve">one instance where </w:t>
      </w:r>
      <w:r w:rsidR="008C38EC">
        <w:rPr>
          <w:szCs w:val="24"/>
        </w:rPr>
        <w:t>an advocate was informed</w:t>
      </w:r>
      <w:r w:rsidR="00EE53BD">
        <w:rPr>
          <w:szCs w:val="24"/>
        </w:rPr>
        <w:t xml:space="preserve"> that when police attended a call</w:t>
      </w:r>
      <w:r w:rsidR="00D0260F">
        <w:rPr>
          <w:szCs w:val="24"/>
        </w:rPr>
        <w:t>,</w:t>
      </w:r>
      <w:r w:rsidR="00EE53BD">
        <w:rPr>
          <w:szCs w:val="24"/>
        </w:rPr>
        <w:t xml:space="preserve"> they recorded the alleged perpetrator as “not having </w:t>
      </w:r>
      <w:r w:rsidR="005F5FD7">
        <w:rPr>
          <w:szCs w:val="24"/>
        </w:rPr>
        <w:t xml:space="preserve">a disability” despite being </w:t>
      </w:r>
      <w:r w:rsidR="0028781E">
        <w:rPr>
          <w:szCs w:val="24"/>
        </w:rPr>
        <w:t xml:space="preserve">a NDIS participant because of his </w:t>
      </w:r>
      <w:r w:rsidR="00844071">
        <w:rPr>
          <w:szCs w:val="24"/>
        </w:rPr>
        <w:t>intellectual disability. In cases like these, d</w:t>
      </w:r>
      <w:r w:rsidR="008F4AD1">
        <w:rPr>
          <w:szCs w:val="24"/>
        </w:rPr>
        <w:t>ue to the severity of their cognitive or intellectual impairment, they do not have the capacity to understand that the</w:t>
      </w:r>
      <w:r w:rsidR="00FD0D3B">
        <w:rPr>
          <w:szCs w:val="24"/>
        </w:rPr>
        <w:t xml:space="preserve">re is DVO in place or its conditions. </w:t>
      </w:r>
      <w:r w:rsidR="0068603C">
        <w:rPr>
          <w:szCs w:val="24"/>
        </w:rPr>
        <w:t xml:space="preserve">This means that </w:t>
      </w:r>
      <w:r w:rsidR="00FA4C2E">
        <w:rPr>
          <w:szCs w:val="24"/>
        </w:rPr>
        <w:t>repeated breaches of the DVO occu</w:t>
      </w:r>
      <w:r w:rsidR="005D0E26">
        <w:rPr>
          <w:szCs w:val="24"/>
        </w:rPr>
        <w:t>r</w:t>
      </w:r>
      <w:r w:rsidR="00D366F8">
        <w:rPr>
          <w:szCs w:val="24"/>
        </w:rPr>
        <w:t xml:space="preserve"> and the person constantly ends up in custody</w:t>
      </w:r>
      <w:r w:rsidR="001D4F24">
        <w:rPr>
          <w:szCs w:val="24"/>
        </w:rPr>
        <w:t>,</w:t>
      </w:r>
      <w:r w:rsidR="00D366F8">
        <w:rPr>
          <w:szCs w:val="24"/>
        </w:rPr>
        <w:t xml:space="preserve"> yet there is never any consideration or assessment of capacity that </w:t>
      </w:r>
      <w:r w:rsidR="00DA6C9A">
        <w:rPr>
          <w:szCs w:val="24"/>
        </w:rPr>
        <w:t>occurs.</w:t>
      </w:r>
    </w:p>
    <w:p w14:paraId="7DE0844D" w14:textId="1FB81D1A" w:rsidR="00BA43C0" w:rsidRPr="000E45FF" w:rsidRDefault="003A7D34" w:rsidP="007A50FC">
      <w:pPr>
        <w:pStyle w:val="QIDANParagraph"/>
        <w:spacing w:before="120"/>
        <w:rPr>
          <w:szCs w:val="24"/>
        </w:rPr>
      </w:pPr>
      <w:r>
        <w:rPr>
          <w:szCs w:val="24"/>
        </w:rPr>
        <w:t>Th</w:t>
      </w:r>
      <w:r w:rsidR="007A50FC">
        <w:rPr>
          <w:szCs w:val="24"/>
        </w:rPr>
        <w:t>ese</w:t>
      </w:r>
      <w:r>
        <w:rPr>
          <w:szCs w:val="24"/>
        </w:rPr>
        <w:t xml:space="preserve"> example</w:t>
      </w:r>
      <w:r w:rsidR="007A50FC">
        <w:rPr>
          <w:szCs w:val="24"/>
        </w:rPr>
        <w:t>s</w:t>
      </w:r>
      <w:r w:rsidR="004A20CD" w:rsidRPr="000E45FF">
        <w:rPr>
          <w:szCs w:val="24"/>
        </w:rPr>
        <w:t xml:space="preserve"> highlight the</w:t>
      </w:r>
      <w:r w:rsidR="00533E34" w:rsidRPr="000E45FF">
        <w:rPr>
          <w:szCs w:val="24"/>
        </w:rPr>
        <w:t xml:space="preserve"> </w:t>
      </w:r>
      <w:r w:rsidR="00EA32BA" w:rsidRPr="000E45FF">
        <w:rPr>
          <w:szCs w:val="24"/>
        </w:rPr>
        <w:t>ineffective</w:t>
      </w:r>
      <w:r w:rsidR="00F21CB6" w:rsidRPr="000E45FF">
        <w:rPr>
          <w:szCs w:val="24"/>
        </w:rPr>
        <w:t>ne</w:t>
      </w:r>
      <w:r w:rsidR="00EA32BA" w:rsidRPr="000E45FF">
        <w:rPr>
          <w:szCs w:val="24"/>
        </w:rPr>
        <w:t xml:space="preserve">ss of existing DVOs, and similarly PPDs, in the absence of safeguarding mechanisms for people with impaired </w:t>
      </w:r>
      <w:r w:rsidR="00612534" w:rsidRPr="000E45FF">
        <w:rPr>
          <w:szCs w:val="24"/>
        </w:rPr>
        <w:t>decision-making</w:t>
      </w:r>
      <w:r w:rsidR="00EA32BA" w:rsidRPr="000E45FF">
        <w:rPr>
          <w:szCs w:val="24"/>
        </w:rPr>
        <w:t xml:space="preserve"> capacity that are involved in DFV. </w:t>
      </w:r>
      <w:r w:rsidR="00CB4649">
        <w:rPr>
          <w:szCs w:val="24"/>
        </w:rPr>
        <w:t>It</w:t>
      </w:r>
      <w:r w:rsidR="00D33C13" w:rsidRPr="000E45FF">
        <w:rPr>
          <w:szCs w:val="24"/>
        </w:rPr>
        <w:t xml:space="preserve"> exemplifies the </w:t>
      </w:r>
      <w:r w:rsidR="00F21CB6" w:rsidRPr="000E45FF">
        <w:rPr>
          <w:szCs w:val="24"/>
        </w:rPr>
        <w:t>further criminalisation of people with disability that is likely to result</w:t>
      </w:r>
      <w:r w:rsidR="004F3801" w:rsidRPr="000E45FF">
        <w:rPr>
          <w:szCs w:val="24"/>
        </w:rPr>
        <w:t xml:space="preserve"> </w:t>
      </w:r>
      <w:r w:rsidR="00F21CB6" w:rsidRPr="000E45FF">
        <w:rPr>
          <w:szCs w:val="24"/>
        </w:rPr>
        <w:t>under the</w:t>
      </w:r>
      <w:r w:rsidR="004F3801" w:rsidRPr="000E45FF">
        <w:rPr>
          <w:szCs w:val="24"/>
        </w:rPr>
        <w:t xml:space="preserve"> newly proposed </w:t>
      </w:r>
      <w:r w:rsidR="00A95521" w:rsidRPr="000E45FF">
        <w:rPr>
          <w:szCs w:val="24"/>
        </w:rPr>
        <w:t>offences for repeated contraventions of DVOs and PPDs</w:t>
      </w:r>
      <w:r w:rsidR="00086ACC" w:rsidRPr="000E45FF">
        <w:rPr>
          <w:szCs w:val="24"/>
        </w:rPr>
        <w:t>.</w:t>
      </w:r>
      <w:r w:rsidR="00521ACD" w:rsidRPr="000E45FF">
        <w:rPr>
          <w:rStyle w:val="FootnoteReference"/>
          <w:szCs w:val="24"/>
        </w:rPr>
        <w:footnoteReference w:id="4"/>
      </w:r>
      <w:r w:rsidR="00086ACC" w:rsidRPr="000E45FF">
        <w:rPr>
          <w:szCs w:val="24"/>
        </w:rPr>
        <w:t xml:space="preserve"> </w:t>
      </w:r>
      <w:r w:rsidR="00F21CB6" w:rsidRPr="000E45FF">
        <w:rPr>
          <w:szCs w:val="24"/>
        </w:rPr>
        <w:t>That is, a</w:t>
      </w:r>
      <w:r w:rsidR="00086ACC" w:rsidRPr="000E45FF">
        <w:rPr>
          <w:szCs w:val="24"/>
        </w:rPr>
        <w:t xml:space="preserve"> maximum penalty of up to 5 years imprisonment </w:t>
      </w:r>
      <w:r w:rsidR="00F324AF" w:rsidRPr="000E45FF">
        <w:rPr>
          <w:szCs w:val="24"/>
        </w:rPr>
        <w:t xml:space="preserve">for contravention of a DVO or PPD </w:t>
      </w:r>
      <w:r w:rsidR="00BA43C0" w:rsidRPr="000E45FF">
        <w:rPr>
          <w:szCs w:val="24"/>
        </w:rPr>
        <w:t xml:space="preserve">on 3 or more occasions with a 28-day period. </w:t>
      </w:r>
    </w:p>
    <w:p w14:paraId="3E023580" w14:textId="1884DA65" w:rsidR="005C42E8" w:rsidRPr="000E45FF" w:rsidRDefault="001F05E5" w:rsidP="007A50FC">
      <w:pPr>
        <w:pStyle w:val="QIDANParagraph"/>
        <w:spacing w:before="120"/>
        <w:rPr>
          <w:szCs w:val="24"/>
        </w:rPr>
      </w:pPr>
      <w:r w:rsidRPr="000E45FF">
        <w:rPr>
          <w:szCs w:val="24"/>
        </w:rPr>
        <w:t>QIDAN understands that</w:t>
      </w:r>
      <w:r w:rsidR="0013225F" w:rsidRPr="000E45FF">
        <w:rPr>
          <w:szCs w:val="24"/>
        </w:rPr>
        <w:t xml:space="preserve"> </w:t>
      </w:r>
      <w:r w:rsidR="00E1422C" w:rsidRPr="000E45FF">
        <w:rPr>
          <w:szCs w:val="24"/>
        </w:rPr>
        <w:t>the new offences for repeated contraventions come with three new elements, including the requirement that the person must</w:t>
      </w:r>
      <w:r w:rsidR="00B54B51" w:rsidRPr="000E45FF">
        <w:rPr>
          <w:szCs w:val="24"/>
        </w:rPr>
        <w:t xml:space="preserve"> be</w:t>
      </w:r>
      <w:r w:rsidR="006F0AF6" w:rsidRPr="000E45FF">
        <w:rPr>
          <w:szCs w:val="24"/>
        </w:rPr>
        <w:t xml:space="preserve"> aware of the existence of the DVO or PPD and any conditions allegedly contravened. </w:t>
      </w:r>
      <w:r w:rsidR="00040715" w:rsidRPr="000E45FF">
        <w:rPr>
          <w:szCs w:val="24"/>
        </w:rPr>
        <w:t>The</w:t>
      </w:r>
      <w:r w:rsidR="00040715" w:rsidRPr="000E45FF" w:rsidDel="00487257">
        <w:rPr>
          <w:szCs w:val="24"/>
        </w:rPr>
        <w:t xml:space="preserve"> </w:t>
      </w:r>
      <w:r w:rsidR="00040715" w:rsidRPr="000E45FF">
        <w:rPr>
          <w:szCs w:val="24"/>
        </w:rPr>
        <w:t xml:space="preserve">explanatory note to the Bill </w:t>
      </w:r>
      <w:r w:rsidR="00393E50" w:rsidRPr="000E45FF">
        <w:rPr>
          <w:szCs w:val="24"/>
        </w:rPr>
        <w:t>sets out that</w:t>
      </w:r>
      <w:r w:rsidR="008D1300" w:rsidRPr="000E45FF">
        <w:rPr>
          <w:szCs w:val="24"/>
        </w:rPr>
        <w:t xml:space="preserve"> merely informing </w:t>
      </w:r>
      <w:r w:rsidR="00124682" w:rsidRPr="000E45FF">
        <w:rPr>
          <w:szCs w:val="24"/>
        </w:rPr>
        <w:t>a respondent of the order is insufficient and</w:t>
      </w:r>
      <w:r w:rsidR="00393E50" w:rsidRPr="000E45FF">
        <w:rPr>
          <w:szCs w:val="24"/>
        </w:rPr>
        <w:t xml:space="preserve"> </w:t>
      </w:r>
      <w:r w:rsidR="008D1300" w:rsidRPr="000E45FF">
        <w:rPr>
          <w:szCs w:val="24"/>
        </w:rPr>
        <w:t xml:space="preserve">the prosecution </w:t>
      </w:r>
      <w:r w:rsidR="00124682" w:rsidRPr="000E45FF">
        <w:rPr>
          <w:szCs w:val="24"/>
        </w:rPr>
        <w:t>bears the onus of proving</w:t>
      </w:r>
      <w:r w:rsidR="008D1300" w:rsidRPr="000E45FF">
        <w:rPr>
          <w:szCs w:val="24"/>
        </w:rPr>
        <w:t xml:space="preserve"> </w:t>
      </w:r>
      <w:r w:rsidR="00737558" w:rsidRPr="000E45FF">
        <w:rPr>
          <w:szCs w:val="24"/>
        </w:rPr>
        <w:t xml:space="preserve">this element </w:t>
      </w:r>
      <w:r w:rsidR="008D1300" w:rsidRPr="000E45FF">
        <w:rPr>
          <w:szCs w:val="24"/>
        </w:rPr>
        <w:t>beyond reasonable doubt</w:t>
      </w:r>
      <w:r w:rsidR="00737558" w:rsidRPr="000E45FF">
        <w:rPr>
          <w:szCs w:val="24"/>
        </w:rPr>
        <w:t>.</w:t>
      </w:r>
      <w:r w:rsidR="006451CF" w:rsidRPr="000E45FF">
        <w:rPr>
          <w:rStyle w:val="FootnoteReference"/>
          <w:szCs w:val="24"/>
        </w:rPr>
        <w:footnoteReference w:id="5"/>
      </w:r>
      <w:r w:rsidR="00737558" w:rsidRPr="000E45FF">
        <w:rPr>
          <w:szCs w:val="24"/>
        </w:rPr>
        <w:t xml:space="preserve"> </w:t>
      </w:r>
      <w:r w:rsidR="00BB3C5A" w:rsidRPr="000E45FF">
        <w:rPr>
          <w:szCs w:val="24"/>
        </w:rPr>
        <w:t xml:space="preserve">In our opinion, we believe that these intended safeguards are insufficient and further </w:t>
      </w:r>
      <w:r w:rsidR="00AA14F8" w:rsidRPr="000E45FF">
        <w:rPr>
          <w:szCs w:val="24"/>
        </w:rPr>
        <w:t xml:space="preserve">protections must be implemented </w:t>
      </w:r>
      <w:r w:rsidR="00EC3B4B" w:rsidRPr="000E45FF">
        <w:rPr>
          <w:szCs w:val="24"/>
        </w:rPr>
        <w:t xml:space="preserve">for these new offences. </w:t>
      </w:r>
      <w:r w:rsidR="00127375" w:rsidRPr="000E45FF">
        <w:rPr>
          <w:szCs w:val="24"/>
        </w:rPr>
        <w:t xml:space="preserve">More specifically, it needs to be made explicitly clear within the legislation what constitutes </w:t>
      </w:r>
      <w:r w:rsidR="00F469BB" w:rsidRPr="000E45FF">
        <w:rPr>
          <w:szCs w:val="24"/>
        </w:rPr>
        <w:t xml:space="preserve">a person being made aware of the DVO or PPD and its conditions, and there must be protections for people with disability </w:t>
      </w:r>
      <w:r w:rsidR="00187215" w:rsidRPr="000E45FF">
        <w:rPr>
          <w:szCs w:val="24"/>
        </w:rPr>
        <w:t xml:space="preserve">with impaired decision-making capacity. </w:t>
      </w:r>
      <w:r w:rsidR="004D6AA3">
        <w:rPr>
          <w:szCs w:val="24"/>
        </w:rPr>
        <w:t xml:space="preserve">In many cases, a person might need communications support or an interpreter to ensure they </w:t>
      </w:r>
      <w:r w:rsidR="00707E88">
        <w:rPr>
          <w:szCs w:val="24"/>
        </w:rPr>
        <w:t>understand the DVO or PPD.</w:t>
      </w:r>
    </w:p>
    <w:p w14:paraId="4CB1B843" w14:textId="11CD8471" w:rsidR="007A713F" w:rsidRPr="000E45FF" w:rsidRDefault="0036699F" w:rsidP="007A50FC">
      <w:pPr>
        <w:pStyle w:val="QIDANParagraph"/>
        <w:spacing w:before="120"/>
        <w:rPr>
          <w:szCs w:val="24"/>
        </w:rPr>
      </w:pPr>
      <w:r w:rsidRPr="000E45FF">
        <w:rPr>
          <w:szCs w:val="24"/>
        </w:rPr>
        <w:t>Section 84 of the</w:t>
      </w:r>
      <w:r w:rsidR="00621A6A" w:rsidRPr="000E45FF">
        <w:rPr>
          <w:szCs w:val="24"/>
        </w:rPr>
        <w:t xml:space="preserve"> </w:t>
      </w:r>
      <w:r w:rsidR="00131187" w:rsidRPr="000E45FF">
        <w:rPr>
          <w:i/>
          <w:iCs/>
          <w:szCs w:val="24"/>
        </w:rPr>
        <w:t>DVPA</w:t>
      </w:r>
      <w:r w:rsidR="005C42E8" w:rsidRPr="000E45FF">
        <w:rPr>
          <w:szCs w:val="24"/>
        </w:rPr>
        <w:t xml:space="preserve"> </w:t>
      </w:r>
      <w:r w:rsidR="00A46A5C" w:rsidRPr="000E45FF">
        <w:rPr>
          <w:szCs w:val="24"/>
        </w:rPr>
        <w:t xml:space="preserve">currently provides that a DVO can only proceed if the </w:t>
      </w:r>
      <w:r w:rsidR="00FB758C" w:rsidRPr="000E45FF">
        <w:rPr>
          <w:szCs w:val="24"/>
        </w:rPr>
        <w:t>aggrieved and respondent</w:t>
      </w:r>
      <w:r w:rsidR="00A46A5C" w:rsidRPr="000E45FF">
        <w:rPr>
          <w:szCs w:val="24"/>
        </w:rPr>
        <w:t xml:space="preserve"> understand the nature, purpose and legal implications of the </w:t>
      </w:r>
      <w:r w:rsidR="00B07F72" w:rsidRPr="000E45FF">
        <w:rPr>
          <w:szCs w:val="24"/>
        </w:rPr>
        <w:t xml:space="preserve">proceeding and </w:t>
      </w:r>
      <w:r w:rsidR="00FB758C" w:rsidRPr="000E45FF">
        <w:rPr>
          <w:szCs w:val="24"/>
        </w:rPr>
        <w:t>of any order or ruling made by the court.</w:t>
      </w:r>
      <w:r w:rsidR="009C242E" w:rsidRPr="000E45FF">
        <w:rPr>
          <w:szCs w:val="24"/>
        </w:rPr>
        <w:t xml:space="preserve"> </w:t>
      </w:r>
      <w:r w:rsidR="004C2A8A" w:rsidRPr="000E45FF">
        <w:rPr>
          <w:szCs w:val="24"/>
        </w:rPr>
        <w:t xml:space="preserve">It also sets out </w:t>
      </w:r>
      <w:r w:rsidR="001375E0" w:rsidRPr="000E45FF">
        <w:rPr>
          <w:szCs w:val="24"/>
        </w:rPr>
        <w:t xml:space="preserve">that the court may use various services or seek appropriate help </w:t>
      </w:r>
      <w:r w:rsidR="00B3514D" w:rsidRPr="000E45FF">
        <w:rPr>
          <w:szCs w:val="24"/>
        </w:rPr>
        <w:t xml:space="preserve">at its discretion </w:t>
      </w:r>
      <w:r w:rsidR="001375E0" w:rsidRPr="000E45FF">
        <w:rPr>
          <w:szCs w:val="24"/>
        </w:rPr>
        <w:t xml:space="preserve">to </w:t>
      </w:r>
      <w:r w:rsidR="001F3720" w:rsidRPr="000E45FF">
        <w:rPr>
          <w:szCs w:val="24"/>
        </w:rPr>
        <w:t>ensure understanding on part of the aggrieved and respondent.</w:t>
      </w:r>
      <w:r w:rsidR="00D00F1F" w:rsidRPr="000E45FF">
        <w:rPr>
          <w:rStyle w:val="FootnoteReference"/>
          <w:szCs w:val="24"/>
        </w:rPr>
        <w:footnoteReference w:id="6"/>
      </w:r>
      <w:r w:rsidR="001F3720" w:rsidRPr="000E45FF">
        <w:rPr>
          <w:szCs w:val="24"/>
        </w:rPr>
        <w:t xml:space="preserve"> However, th</w:t>
      </w:r>
      <w:r w:rsidR="00D63AD6" w:rsidRPr="000E45FF">
        <w:rPr>
          <w:szCs w:val="24"/>
        </w:rPr>
        <w:t xml:space="preserve">ere are no consequences for </w:t>
      </w:r>
      <w:r w:rsidR="00D00F1F" w:rsidRPr="000E45FF">
        <w:rPr>
          <w:szCs w:val="24"/>
        </w:rPr>
        <w:t>failing to comply</w:t>
      </w:r>
      <w:r w:rsidR="00D63AD6" w:rsidRPr="000E45FF">
        <w:rPr>
          <w:szCs w:val="24"/>
        </w:rPr>
        <w:t xml:space="preserve"> with this section. </w:t>
      </w:r>
      <w:r w:rsidR="002F2262" w:rsidRPr="000E45FF">
        <w:rPr>
          <w:szCs w:val="24"/>
        </w:rPr>
        <w:t xml:space="preserve">QIDAN </w:t>
      </w:r>
      <w:r w:rsidR="005E157D" w:rsidRPr="000E45FF">
        <w:rPr>
          <w:szCs w:val="24"/>
        </w:rPr>
        <w:t xml:space="preserve">strongly recommends </w:t>
      </w:r>
      <w:r w:rsidR="00D00F1F" w:rsidRPr="000E45FF">
        <w:rPr>
          <w:szCs w:val="24"/>
        </w:rPr>
        <w:t>amending the a</w:t>
      </w:r>
      <w:r w:rsidR="00363E93" w:rsidRPr="000E45FF">
        <w:rPr>
          <w:szCs w:val="24"/>
        </w:rPr>
        <w:t>wareness element for</w:t>
      </w:r>
      <w:r w:rsidR="00612BDA" w:rsidRPr="000E45FF">
        <w:rPr>
          <w:szCs w:val="24"/>
        </w:rPr>
        <w:t xml:space="preserve"> repeated contravention offen</w:t>
      </w:r>
      <w:r w:rsidR="00522615" w:rsidRPr="000E45FF">
        <w:rPr>
          <w:szCs w:val="24"/>
        </w:rPr>
        <w:t>ces</w:t>
      </w:r>
      <w:r w:rsidR="004218B8" w:rsidRPr="000E45FF">
        <w:rPr>
          <w:szCs w:val="24"/>
        </w:rPr>
        <w:t xml:space="preserve"> </w:t>
      </w:r>
      <w:r w:rsidR="009866A0" w:rsidRPr="000E45FF">
        <w:rPr>
          <w:szCs w:val="24"/>
        </w:rPr>
        <w:t>so that it aligns with</w:t>
      </w:r>
      <w:r w:rsidR="00363E93" w:rsidRPr="000E45FF">
        <w:rPr>
          <w:szCs w:val="24"/>
        </w:rPr>
        <w:t xml:space="preserve"> section 84 of the </w:t>
      </w:r>
      <w:r w:rsidR="00363E93" w:rsidRPr="000E45FF">
        <w:rPr>
          <w:i/>
          <w:iCs/>
          <w:szCs w:val="24"/>
        </w:rPr>
        <w:t>DVPA</w:t>
      </w:r>
      <w:r w:rsidR="004759BA" w:rsidRPr="000E45FF">
        <w:rPr>
          <w:szCs w:val="24"/>
        </w:rPr>
        <w:t>.</w:t>
      </w:r>
      <w:r w:rsidR="009866A0" w:rsidRPr="000E45FF">
        <w:rPr>
          <w:szCs w:val="24"/>
        </w:rPr>
        <w:t xml:space="preserve"> </w:t>
      </w:r>
      <w:r w:rsidR="009866A0" w:rsidRPr="000E45FF">
        <w:t>That is, a person will be aware if they understand the nature, purpose and legal implications of the DVO or PPD</w:t>
      </w:r>
      <w:r w:rsidR="00B42254">
        <w:t>, rather than simply being given a copy of the DVO or PPD</w:t>
      </w:r>
      <w:r w:rsidR="008520A6">
        <w:t xml:space="preserve"> or being “told” (as in s 177(</w:t>
      </w:r>
      <w:r w:rsidR="00D764FD">
        <w:t>1)(c) and (5))</w:t>
      </w:r>
      <w:r w:rsidR="00B42254">
        <w:t>.</w:t>
      </w:r>
      <w:r w:rsidR="005256B5" w:rsidRPr="000E45FF" w:rsidDel="00B42254">
        <w:t xml:space="preserve"> </w:t>
      </w:r>
      <w:r w:rsidR="005256B5" w:rsidRPr="000E45FF">
        <w:t xml:space="preserve">For consistency, compliance with section 84 of the </w:t>
      </w:r>
      <w:r w:rsidR="005256B5" w:rsidRPr="000E45FF">
        <w:rPr>
          <w:i/>
          <w:iCs/>
        </w:rPr>
        <w:t>DVPA</w:t>
      </w:r>
      <w:r w:rsidR="005256B5" w:rsidRPr="000E45FF">
        <w:t xml:space="preserve"> must also</w:t>
      </w:r>
      <w:r w:rsidR="00AC05C4" w:rsidRPr="000E45FF">
        <w:t xml:space="preserve"> be made mandatory.</w:t>
      </w:r>
    </w:p>
    <w:p w14:paraId="4D55EB85" w14:textId="145EA1D8" w:rsidR="003A4839" w:rsidRPr="000E45FF" w:rsidRDefault="00505D6E" w:rsidP="007A50FC">
      <w:pPr>
        <w:tabs>
          <w:tab w:val="left" w:pos="7476"/>
        </w:tabs>
        <w:spacing w:before="120" w:line="360" w:lineRule="auto"/>
        <w:rPr>
          <w:rFonts w:ascii="Nunito Sans" w:hAnsi="Nunito Sans"/>
        </w:rPr>
      </w:pPr>
      <w:r w:rsidRPr="000E45FF">
        <w:rPr>
          <w:rFonts w:ascii="Nunito Sans" w:hAnsi="Nunito Sans"/>
        </w:rPr>
        <w:t xml:space="preserve">As an additional safeguard, QIDAN </w:t>
      </w:r>
      <w:r w:rsidR="0017320C" w:rsidRPr="000E45FF">
        <w:rPr>
          <w:rFonts w:ascii="Nunito Sans" w:hAnsi="Nunito Sans"/>
        </w:rPr>
        <w:t xml:space="preserve">also </w:t>
      </w:r>
      <w:r w:rsidRPr="000E45FF">
        <w:rPr>
          <w:rFonts w:ascii="Nunito Sans" w:hAnsi="Nunito Sans"/>
        </w:rPr>
        <w:t xml:space="preserve">recommends that a </w:t>
      </w:r>
      <w:r w:rsidR="00036B8D" w:rsidRPr="000E45FF">
        <w:rPr>
          <w:rFonts w:ascii="Nunito Sans" w:hAnsi="Nunito Sans"/>
        </w:rPr>
        <w:t>provision similar to section 172 of the</w:t>
      </w:r>
      <w:r w:rsidR="008D28B4" w:rsidRPr="000E45FF">
        <w:rPr>
          <w:rFonts w:ascii="Nunito Sans" w:hAnsi="Nunito Sans"/>
        </w:rPr>
        <w:t xml:space="preserve"> </w:t>
      </w:r>
      <w:r w:rsidR="008D28B4" w:rsidRPr="000E45FF">
        <w:rPr>
          <w:rFonts w:ascii="Nunito Sans" w:hAnsi="Nunito Sans"/>
          <w:i/>
          <w:iCs/>
        </w:rPr>
        <w:t>MHA</w:t>
      </w:r>
      <w:r w:rsidR="00036B8D" w:rsidRPr="000E45FF">
        <w:rPr>
          <w:rFonts w:ascii="Nunito Sans" w:hAnsi="Nunito Sans"/>
        </w:rPr>
        <w:t xml:space="preserve"> is inserted into the legislation. </w:t>
      </w:r>
      <w:r w:rsidR="00C60592" w:rsidRPr="000E45FF">
        <w:rPr>
          <w:rFonts w:ascii="Nunito Sans" w:hAnsi="Nunito Sans"/>
        </w:rPr>
        <w:t xml:space="preserve">This gives magistrates in Mental Health </w:t>
      </w:r>
      <w:r w:rsidR="009A5D1A" w:rsidRPr="000E45FF">
        <w:rPr>
          <w:rFonts w:ascii="Nunito Sans" w:hAnsi="Nunito Sans"/>
        </w:rPr>
        <w:t xml:space="preserve">complaint </w:t>
      </w:r>
      <w:r w:rsidR="00F1343C" w:rsidRPr="000E45FF">
        <w:rPr>
          <w:rFonts w:ascii="Nunito Sans" w:hAnsi="Nunito Sans"/>
        </w:rPr>
        <w:t xml:space="preserve">proceedings </w:t>
      </w:r>
      <w:r w:rsidR="00101288" w:rsidRPr="000E45FF">
        <w:rPr>
          <w:rFonts w:ascii="Nunito Sans" w:hAnsi="Nunito Sans"/>
        </w:rPr>
        <w:t>the</w:t>
      </w:r>
      <w:r w:rsidR="00F1343C" w:rsidRPr="000E45FF">
        <w:rPr>
          <w:rFonts w:ascii="Nunito Sans" w:hAnsi="Nunito Sans"/>
        </w:rPr>
        <w:t xml:space="preserve"> power to dismiss a complaint based on a person with disability’s </w:t>
      </w:r>
      <w:r w:rsidR="00273FF3" w:rsidRPr="000E45FF">
        <w:rPr>
          <w:rFonts w:ascii="Nunito Sans" w:hAnsi="Nunito Sans"/>
        </w:rPr>
        <w:t>perceived unfitness for trial.</w:t>
      </w:r>
      <w:r w:rsidR="00AC05C4" w:rsidRPr="000E45FF">
        <w:rPr>
          <w:rStyle w:val="FootnoteReference"/>
          <w:rFonts w:ascii="Nunito Sans" w:hAnsi="Nunito Sans"/>
        </w:rPr>
        <w:footnoteReference w:id="7"/>
      </w:r>
      <w:r w:rsidR="00273FF3" w:rsidRPr="000E45FF">
        <w:rPr>
          <w:rFonts w:ascii="Nunito Sans" w:hAnsi="Nunito Sans"/>
        </w:rPr>
        <w:t xml:space="preserve"> In the context of DVOs, a similar power would </w:t>
      </w:r>
      <w:r w:rsidR="00274C9D" w:rsidRPr="000E45FF">
        <w:rPr>
          <w:rFonts w:ascii="Nunito Sans" w:hAnsi="Nunito Sans"/>
        </w:rPr>
        <w:t>enforce a consideration of capacity and</w:t>
      </w:r>
      <w:r w:rsidR="00264326" w:rsidRPr="000E45FF">
        <w:rPr>
          <w:rFonts w:ascii="Nunito Sans" w:hAnsi="Nunito Sans"/>
        </w:rPr>
        <w:t xml:space="preserve"> </w:t>
      </w:r>
      <w:r w:rsidR="00273FF3" w:rsidRPr="000E45FF">
        <w:rPr>
          <w:rFonts w:ascii="Nunito Sans" w:hAnsi="Nunito Sans"/>
        </w:rPr>
        <w:t xml:space="preserve">enable </w:t>
      </w:r>
      <w:r w:rsidR="0025067C" w:rsidRPr="000E45FF">
        <w:rPr>
          <w:rFonts w:ascii="Nunito Sans" w:hAnsi="Nunito Sans"/>
        </w:rPr>
        <w:t xml:space="preserve">a DVO or PPD to be dismissed if a person with disability had </w:t>
      </w:r>
      <w:r w:rsidR="006833D8" w:rsidRPr="000E45FF">
        <w:rPr>
          <w:rFonts w:ascii="Nunito Sans" w:hAnsi="Nunito Sans"/>
        </w:rPr>
        <w:t>perceived impaired capacity</w:t>
      </w:r>
      <w:r w:rsidR="00660B63" w:rsidRPr="000E45FF">
        <w:rPr>
          <w:rFonts w:ascii="Nunito Sans" w:hAnsi="Nunito Sans"/>
        </w:rPr>
        <w:t>.</w:t>
      </w:r>
    </w:p>
    <w:p w14:paraId="74391A0A" w14:textId="77777777" w:rsidR="003A4839" w:rsidRPr="000E45FF" w:rsidRDefault="003A4839">
      <w:pPr>
        <w:rPr>
          <w:rFonts w:ascii="Nunito Sans" w:hAnsi="Nunito Sans"/>
        </w:rPr>
      </w:pPr>
    </w:p>
    <w:p w14:paraId="4DA8F1D6" w14:textId="658FC7EC" w:rsidR="003A4839" w:rsidRPr="000E45FF" w:rsidRDefault="00B83EC3" w:rsidP="00290313">
      <w:pPr>
        <w:spacing w:line="360" w:lineRule="auto"/>
        <w:rPr>
          <w:rFonts w:ascii="Nunito Sans" w:hAnsi="Nunito Sans"/>
        </w:rPr>
      </w:pPr>
      <w:r w:rsidRPr="000E45FF">
        <w:rPr>
          <w:rFonts w:ascii="Nunito Sans" w:hAnsi="Nunito Sans"/>
        </w:rPr>
        <w:t>We thank you for providing the opportunity to provide our feedback on the Bill and we are happy to provide further information or clarification of any of the matters raised in this letter upon request.</w:t>
      </w:r>
    </w:p>
    <w:p w14:paraId="6552707D" w14:textId="77777777" w:rsidR="003A4839" w:rsidRPr="000E45FF" w:rsidRDefault="003A4839" w:rsidP="00290313">
      <w:pPr>
        <w:spacing w:line="360" w:lineRule="auto"/>
        <w:rPr>
          <w:rFonts w:ascii="Nunito Sans" w:hAnsi="Nunito Sans"/>
        </w:rPr>
      </w:pPr>
    </w:p>
    <w:p w14:paraId="26B24BC5" w14:textId="0E08C5BE" w:rsidR="003A4839" w:rsidRPr="000E45FF" w:rsidRDefault="00B83EC3" w:rsidP="00290313">
      <w:pPr>
        <w:spacing w:line="360" w:lineRule="auto"/>
        <w:rPr>
          <w:rFonts w:ascii="Nunito Sans" w:hAnsi="Nunito Sans"/>
        </w:rPr>
      </w:pPr>
      <w:r w:rsidRPr="000E45FF">
        <w:rPr>
          <w:rFonts w:ascii="Nunito Sans" w:hAnsi="Nunito Sans"/>
        </w:rPr>
        <w:t>Yours sincerely,</w:t>
      </w:r>
    </w:p>
    <w:p w14:paraId="10D39373" w14:textId="77777777" w:rsidR="00B83EC3" w:rsidRPr="000E45FF" w:rsidRDefault="00B83EC3" w:rsidP="00290313">
      <w:pPr>
        <w:spacing w:line="360" w:lineRule="auto"/>
        <w:rPr>
          <w:rFonts w:ascii="Nunito Sans" w:hAnsi="Nunito Sans"/>
        </w:rPr>
      </w:pPr>
    </w:p>
    <w:p w14:paraId="71365E98" w14:textId="5456BAEB" w:rsidR="00290313" w:rsidRPr="000E45FF" w:rsidRDefault="007A50FC" w:rsidP="00290313">
      <w:pPr>
        <w:spacing w:line="360" w:lineRule="auto"/>
        <w:rPr>
          <w:rFonts w:ascii="Nunito Sans" w:hAnsi="Nunito Sans"/>
        </w:rPr>
      </w:pPr>
      <w:r w:rsidRPr="00736521">
        <w:rPr>
          <w:noProof/>
        </w:rPr>
        <w:drawing>
          <wp:inline distT="0" distB="0" distL="0" distR="0" wp14:anchorId="3393EBAA" wp14:editId="4CC4A0D7">
            <wp:extent cx="1800225" cy="809625"/>
            <wp:effectExtent l="0" t="0" r="9525" b="9525"/>
            <wp:docPr id="631785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809625"/>
                    </a:xfrm>
                    <a:prstGeom prst="rect">
                      <a:avLst/>
                    </a:prstGeom>
                    <a:noFill/>
                    <a:ln>
                      <a:noFill/>
                    </a:ln>
                  </pic:spPr>
                </pic:pic>
              </a:graphicData>
            </a:graphic>
          </wp:inline>
        </w:drawing>
      </w:r>
    </w:p>
    <w:p w14:paraId="663E6CD7" w14:textId="77777777" w:rsidR="00290313" w:rsidRPr="000E45FF" w:rsidRDefault="00290313" w:rsidP="00290313">
      <w:pPr>
        <w:spacing w:line="360" w:lineRule="auto"/>
        <w:rPr>
          <w:rFonts w:ascii="Nunito Sans" w:hAnsi="Nunito Sans"/>
        </w:rPr>
      </w:pPr>
      <w:r w:rsidRPr="000E45FF">
        <w:rPr>
          <w:rFonts w:ascii="Nunito Sans" w:hAnsi="Nunito Sans"/>
        </w:rPr>
        <w:t xml:space="preserve">Caitlin De Cocq Van Delwijnen </w:t>
      </w:r>
    </w:p>
    <w:p w14:paraId="7CBF9CAA" w14:textId="03E26BC5" w:rsidR="00B83EC3" w:rsidRPr="000E45FF" w:rsidRDefault="00290313" w:rsidP="00290313">
      <w:pPr>
        <w:spacing w:line="360" w:lineRule="auto"/>
        <w:rPr>
          <w:rFonts w:ascii="Nunito Sans" w:hAnsi="Nunito Sans"/>
        </w:rPr>
      </w:pPr>
      <w:r w:rsidRPr="000E45FF">
        <w:rPr>
          <w:rFonts w:ascii="Nunito Sans" w:hAnsi="Nunito Sans"/>
        </w:rPr>
        <w:t>Director, Queensland Independent Disability Advocacy Network (QIDAN)</w:t>
      </w:r>
    </w:p>
    <w:p w14:paraId="21118EAC" w14:textId="77777777" w:rsidR="003A4839" w:rsidRPr="000E45FF" w:rsidRDefault="003A4839">
      <w:pPr>
        <w:rPr>
          <w:rFonts w:ascii="Nunito Sans" w:hAnsi="Nunito Sans"/>
          <w:sz w:val="20"/>
          <w:szCs w:val="20"/>
        </w:rPr>
      </w:pPr>
    </w:p>
    <w:p w14:paraId="399B289D" w14:textId="77777777" w:rsidR="003A4839" w:rsidRPr="000E45FF" w:rsidRDefault="003A4839">
      <w:pPr>
        <w:rPr>
          <w:rFonts w:ascii="Nunito Sans" w:hAnsi="Nunito Sans"/>
          <w:sz w:val="20"/>
          <w:szCs w:val="20"/>
        </w:rPr>
      </w:pPr>
    </w:p>
    <w:p w14:paraId="1071D77E" w14:textId="77777777" w:rsidR="003A4839" w:rsidRPr="000E45FF" w:rsidRDefault="003A4839">
      <w:pPr>
        <w:rPr>
          <w:rFonts w:ascii="Nunito Sans" w:hAnsi="Nunito Sans"/>
          <w:sz w:val="20"/>
          <w:szCs w:val="20"/>
        </w:rPr>
      </w:pPr>
    </w:p>
    <w:p w14:paraId="1C047D66" w14:textId="77777777" w:rsidR="003A4839" w:rsidRPr="000E45FF" w:rsidRDefault="003A4839">
      <w:pPr>
        <w:rPr>
          <w:rFonts w:ascii="Nunito Sans" w:hAnsi="Nunito Sans"/>
          <w:sz w:val="20"/>
          <w:szCs w:val="20"/>
        </w:rPr>
      </w:pPr>
    </w:p>
    <w:p w14:paraId="734B763D" w14:textId="77777777" w:rsidR="003A4839" w:rsidRPr="000E45FF" w:rsidRDefault="003A4839">
      <w:pPr>
        <w:rPr>
          <w:rFonts w:ascii="Nunito Sans" w:hAnsi="Nunito Sans"/>
          <w:sz w:val="20"/>
          <w:szCs w:val="20"/>
        </w:rPr>
      </w:pPr>
    </w:p>
    <w:p w14:paraId="3103E73D" w14:textId="77777777" w:rsidR="003A4839" w:rsidRPr="000E45FF" w:rsidRDefault="003A4839">
      <w:pPr>
        <w:rPr>
          <w:rFonts w:ascii="Nunito Sans" w:hAnsi="Nunito Sans"/>
          <w:sz w:val="20"/>
          <w:szCs w:val="20"/>
        </w:rPr>
      </w:pPr>
    </w:p>
    <w:sectPr w:rsidR="003A4839" w:rsidRPr="000E45FF" w:rsidSect="00554966">
      <w:headerReference w:type="default" r:id="rId15"/>
      <w:footerReference w:type="default" r:id="rId16"/>
      <w:headerReference w:type="first" r:id="rId17"/>
      <w:footerReference w:type="first" r:id="rId18"/>
      <w:pgSz w:w="11901" w:h="16817"/>
      <w:pgMar w:top="1440" w:right="1080" w:bottom="993" w:left="1080" w:header="0"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59B1E" w14:textId="77777777" w:rsidR="006477A9" w:rsidRPr="00D90C2F" w:rsidRDefault="006477A9" w:rsidP="003A4839">
      <w:r w:rsidRPr="00D90C2F">
        <w:separator/>
      </w:r>
    </w:p>
  </w:endnote>
  <w:endnote w:type="continuationSeparator" w:id="0">
    <w:p w14:paraId="131A85B5" w14:textId="77777777" w:rsidR="006477A9" w:rsidRPr="00D90C2F" w:rsidRDefault="006477A9" w:rsidP="003A4839">
      <w:r w:rsidRPr="00D90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Nunito Sans">
    <w:altName w:val="Calibri"/>
    <w:charset w:val="00"/>
    <w:family w:val="auto"/>
    <w:pitch w:val="variable"/>
    <w:sig w:usb0="A00002FF" w:usb1="5000204B" w:usb2="00000000" w:usb3="00000000" w:csb0="00000197"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Nunito Sans" w:hAnsi="Nunito Sans"/>
        <w:sz w:val="20"/>
        <w:szCs w:val="20"/>
      </w:rPr>
      <w:id w:val="2107300553"/>
      <w:docPartObj>
        <w:docPartGallery w:val="Page Numbers (Bottom of Page)"/>
        <w:docPartUnique/>
      </w:docPartObj>
    </w:sdtPr>
    <w:sdtEndPr>
      <w:rPr>
        <w:rStyle w:val="PageNumber"/>
        <w:color w:val="690048"/>
      </w:rPr>
    </w:sdtEndPr>
    <w:sdtContent>
      <w:p w14:paraId="22EDC152" w14:textId="77777777" w:rsidR="003F39C7" w:rsidRPr="00D90C2F" w:rsidRDefault="003F39C7" w:rsidP="003F39C7">
        <w:pPr>
          <w:pStyle w:val="Footer"/>
          <w:framePr w:wrap="none" w:vAnchor="text" w:hAnchor="margin" w:xAlign="right" w:y="1"/>
          <w:rPr>
            <w:rStyle w:val="PageNumber"/>
            <w:rFonts w:ascii="Nunito Sans" w:hAnsi="Nunito Sans"/>
            <w:color w:val="690048"/>
            <w:sz w:val="20"/>
            <w:szCs w:val="20"/>
          </w:rPr>
        </w:pPr>
        <w:r w:rsidRPr="00D90C2F">
          <w:rPr>
            <w:rStyle w:val="PageNumber"/>
            <w:rFonts w:ascii="Nunito Sans" w:hAnsi="Nunito Sans"/>
            <w:color w:val="690048"/>
            <w:sz w:val="20"/>
            <w:szCs w:val="20"/>
          </w:rPr>
          <w:fldChar w:fldCharType="begin"/>
        </w:r>
        <w:r w:rsidRPr="00D90C2F">
          <w:rPr>
            <w:rStyle w:val="PageNumber"/>
            <w:rFonts w:ascii="Nunito Sans" w:hAnsi="Nunito Sans"/>
            <w:color w:val="690048"/>
            <w:sz w:val="20"/>
            <w:szCs w:val="20"/>
          </w:rPr>
          <w:instrText xml:space="preserve"> PAGE </w:instrText>
        </w:r>
        <w:r w:rsidRPr="00D90C2F">
          <w:rPr>
            <w:rStyle w:val="PageNumber"/>
            <w:rFonts w:ascii="Nunito Sans" w:hAnsi="Nunito Sans"/>
            <w:color w:val="690048"/>
            <w:sz w:val="20"/>
            <w:szCs w:val="20"/>
          </w:rPr>
          <w:fldChar w:fldCharType="separate"/>
        </w:r>
        <w:r w:rsidRPr="00D90C2F">
          <w:rPr>
            <w:rStyle w:val="PageNumber"/>
            <w:rFonts w:ascii="Nunito Sans" w:hAnsi="Nunito Sans"/>
            <w:color w:val="690048"/>
            <w:sz w:val="20"/>
            <w:szCs w:val="20"/>
          </w:rPr>
          <w:t>2</w:t>
        </w:r>
        <w:r w:rsidRPr="00D90C2F">
          <w:rPr>
            <w:rStyle w:val="PageNumber"/>
            <w:rFonts w:ascii="Nunito Sans" w:hAnsi="Nunito Sans"/>
            <w:color w:val="690048"/>
            <w:sz w:val="20"/>
            <w:szCs w:val="20"/>
          </w:rPr>
          <w:fldChar w:fldCharType="end"/>
        </w:r>
      </w:p>
    </w:sdtContent>
  </w:sdt>
  <w:p w14:paraId="161E311F" w14:textId="77777777" w:rsidR="003F39C7" w:rsidRPr="00D90C2F" w:rsidRDefault="003F39C7" w:rsidP="003F39C7">
    <w:pPr>
      <w:ind w:right="360"/>
      <w:jc w:val="right"/>
      <w:rPr>
        <w:rFonts w:ascii="Nunito Sans" w:hAnsi="Nunito Sans"/>
        <w:color w:val="690048"/>
        <w:sz w:val="20"/>
        <w:szCs w:val="20"/>
      </w:rPr>
    </w:pPr>
    <w:r w:rsidRPr="00D90C2F">
      <w:rPr>
        <w:rFonts w:ascii="Nunito Sans" w:hAnsi="Nunito Sans"/>
        <w:color w:val="690048"/>
        <w:sz w:val="20"/>
        <w:szCs w:val="20"/>
      </w:rPr>
      <w:t>QIDAN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B3C1" w14:textId="77777777" w:rsidR="004601F1" w:rsidRPr="00D90C2F" w:rsidRDefault="004601F1" w:rsidP="004601F1">
    <w:pPr>
      <w:spacing w:line="276" w:lineRule="auto"/>
      <w:rPr>
        <w:rFonts w:ascii="Nunito Sans" w:hAnsi="Nunito Sans" w:cs="Times New Roman (Body CS)"/>
        <w:b/>
        <w:bCs/>
        <w:color w:val="690048"/>
        <w:sz w:val="21"/>
        <w:szCs w:val="21"/>
      </w:rPr>
    </w:pPr>
    <w:r w:rsidRPr="00D90C2F">
      <w:rPr>
        <w:rFonts w:ascii="Nunito Sans" w:hAnsi="Nunito Sans" w:cs="Times New Roman (Body CS)"/>
        <w:b/>
        <w:bCs/>
        <w:color w:val="690048"/>
        <w:sz w:val="21"/>
        <w:szCs w:val="21"/>
      </w:rPr>
      <w:t>Working together to achieve positive change for people with disability</w:t>
    </w:r>
  </w:p>
  <w:p w14:paraId="5291EC6C" w14:textId="0757279A" w:rsidR="004601F1" w:rsidRPr="00D90C2F" w:rsidRDefault="004601F1" w:rsidP="004601F1">
    <w:pPr>
      <w:rPr>
        <w:rFonts w:ascii="Nunito Sans" w:hAnsi="Nunito Sans"/>
        <w:sz w:val="17"/>
        <w:szCs w:val="17"/>
      </w:rPr>
    </w:pPr>
    <w:r w:rsidRPr="00D90C2F">
      <w:rPr>
        <w:rFonts w:ascii="Nunito Sans" w:hAnsi="Nunito Sans"/>
        <w:sz w:val="17"/>
        <w:szCs w:val="17"/>
      </w:rPr>
      <w:t xml:space="preserve">Aged and Disability Advocacy Australia (ADAA) </w:t>
    </w:r>
    <w:r w:rsidRPr="00D90C2F">
      <w:rPr>
        <w:rFonts w:ascii="Nunito Sans" w:hAnsi="Nunito Sans"/>
        <w:color w:val="F26722"/>
        <w:sz w:val="17"/>
        <w:szCs w:val="17"/>
      </w:rPr>
      <w:t>+</w:t>
    </w:r>
    <w:r w:rsidRPr="00D90C2F">
      <w:rPr>
        <w:rFonts w:ascii="Nunito Sans" w:hAnsi="Nunito Sans"/>
        <w:sz w:val="17"/>
        <w:szCs w:val="17"/>
      </w:rPr>
      <w:t xml:space="preserve"> AMPARO Advocacy </w:t>
    </w:r>
    <w:r w:rsidRPr="00D90C2F">
      <w:rPr>
        <w:rFonts w:ascii="Nunito Sans" w:hAnsi="Nunito Sans"/>
        <w:color w:val="F26722"/>
        <w:sz w:val="17"/>
        <w:szCs w:val="17"/>
      </w:rPr>
      <w:t>+</w:t>
    </w:r>
    <w:r w:rsidRPr="00D90C2F">
      <w:rPr>
        <w:rFonts w:ascii="Nunito Sans" w:hAnsi="Nunito Sans"/>
        <w:sz w:val="17"/>
        <w:szCs w:val="17"/>
      </w:rPr>
      <w:t xml:space="preserve"> Capricorn Citizen Advocacy (CCA) </w:t>
    </w:r>
    <w:r w:rsidRPr="00D90C2F">
      <w:rPr>
        <w:rFonts w:ascii="Nunito Sans" w:hAnsi="Nunito Sans"/>
        <w:color w:val="F26722"/>
        <w:sz w:val="17"/>
        <w:szCs w:val="17"/>
      </w:rPr>
      <w:t>+</w:t>
    </w:r>
    <w:r w:rsidRPr="00D90C2F">
      <w:rPr>
        <w:rFonts w:ascii="Nunito Sans" w:hAnsi="Nunito Sans"/>
        <w:sz w:val="17"/>
        <w:szCs w:val="17"/>
      </w:rPr>
      <w:t xml:space="preserve"> Mackay Advocacy </w:t>
    </w:r>
    <w:r w:rsidRPr="00D90C2F">
      <w:rPr>
        <w:rFonts w:ascii="Nunito Sans" w:hAnsi="Nunito Sans"/>
        <w:color w:val="F26722"/>
        <w:sz w:val="17"/>
        <w:szCs w:val="17"/>
      </w:rPr>
      <w:t>+</w:t>
    </w:r>
    <w:r w:rsidRPr="00D90C2F">
      <w:rPr>
        <w:rFonts w:ascii="Nunito Sans" w:hAnsi="Nunito Sans"/>
        <w:sz w:val="17"/>
        <w:szCs w:val="17"/>
      </w:rPr>
      <w:t xml:space="preserve"> People with a Disability (PWD</w:t>
    </w:r>
    <w:r w:rsidR="00E52687" w:rsidRPr="00D90C2F">
      <w:rPr>
        <w:rFonts w:ascii="Nunito Sans" w:hAnsi="Nunito Sans"/>
        <w:sz w:val="17"/>
        <w:szCs w:val="17"/>
      </w:rPr>
      <w:t>A</w:t>
    </w:r>
    <w:r w:rsidRPr="00D90C2F">
      <w:rPr>
        <w:rFonts w:ascii="Nunito Sans" w:hAnsi="Nunito Sans"/>
        <w:sz w:val="17"/>
        <w:szCs w:val="17"/>
      </w:rPr>
      <w:t xml:space="preserve">) </w:t>
    </w:r>
    <w:r w:rsidRPr="00D90C2F">
      <w:rPr>
        <w:rFonts w:ascii="Nunito Sans" w:hAnsi="Nunito Sans"/>
        <w:color w:val="F26722"/>
        <w:sz w:val="17"/>
        <w:szCs w:val="17"/>
      </w:rPr>
      <w:t>+</w:t>
    </w:r>
    <w:r w:rsidRPr="00D90C2F">
      <w:rPr>
        <w:rFonts w:ascii="Nunito Sans" w:hAnsi="Nunito Sans"/>
        <w:sz w:val="17"/>
        <w:szCs w:val="17"/>
      </w:rPr>
      <w:t xml:space="preserve"> Queensland Advocacy for Inclusion (QAI) </w:t>
    </w:r>
    <w:r w:rsidRPr="00D90C2F">
      <w:rPr>
        <w:rFonts w:ascii="Nunito Sans" w:hAnsi="Nunito Sans"/>
        <w:color w:val="F26722"/>
        <w:sz w:val="17"/>
        <w:szCs w:val="17"/>
      </w:rPr>
      <w:t>+</w:t>
    </w:r>
    <w:r w:rsidRPr="00D90C2F">
      <w:rPr>
        <w:rFonts w:ascii="Nunito Sans" w:hAnsi="Nunito Sans"/>
        <w:sz w:val="17"/>
        <w:szCs w:val="17"/>
      </w:rPr>
      <w:t xml:space="preserve"> Rights In Action</w:t>
    </w:r>
    <w:r w:rsidR="00E52687" w:rsidRPr="00D90C2F">
      <w:rPr>
        <w:rFonts w:ascii="Nunito Sans" w:hAnsi="Nunito Sans"/>
        <w:sz w:val="17"/>
        <w:szCs w:val="17"/>
      </w:rPr>
      <w:t xml:space="preserve"> (RIA)</w:t>
    </w:r>
    <w:r w:rsidRPr="00D90C2F">
      <w:rPr>
        <w:rFonts w:ascii="Nunito Sans" w:hAnsi="Nunito Sans"/>
        <w:sz w:val="17"/>
        <w:szCs w:val="17"/>
      </w:rPr>
      <w:t xml:space="preserve"> </w:t>
    </w:r>
    <w:r w:rsidRPr="00D90C2F">
      <w:rPr>
        <w:rFonts w:ascii="Nunito Sans" w:hAnsi="Nunito Sans"/>
        <w:color w:val="F26722"/>
        <w:sz w:val="17"/>
        <w:szCs w:val="17"/>
      </w:rPr>
      <w:t>+</w:t>
    </w:r>
    <w:r w:rsidRPr="00D90C2F">
      <w:rPr>
        <w:rFonts w:ascii="Nunito Sans" w:hAnsi="Nunito Sans"/>
        <w:sz w:val="17"/>
        <w:szCs w:val="17"/>
      </w:rPr>
      <w:t xml:space="preserve"> Speaking Up For You (SUFY) </w:t>
    </w:r>
    <w:r w:rsidRPr="00D90C2F">
      <w:rPr>
        <w:rFonts w:ascii="Nunito Sans" w:hAnsi="Nunito Sans"/>
        <w:color w:val="F26722"/>
        <w:sz w:val="17"/>
        <w:szCs w:val="17"/>
      </w:rPr>
      <w:t>+</w:t>
    </w:r>
    <w:r w:rsidRPr="00D90C2F">
      <w:rPr>
        <w:rFonts w:ascii="Nunito Sans" w:hAnsi="Nunito Sans"/>
        <w:sz w:val="17"/>
        <w:szCs w:val="17"/>
      </w:rPr>
      <w:t xml:space="preserve"> TASC</w:t>
    </w:r>
    <w:r w:rsidR="00E52687" w:rsidRPr="00D90C2F">
      <w:rPr>
        <w:rFonts w:ascii="Nunito Sans" w:hAnsi="Nunito Sans"/>
        <w:sz w:val="17"/>
        <w:szCs w:val="17"/>
      </w:rPr>
      <w:t xml:space="preserve"> National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9E72" w14:textId="77777777" w:rsidR="006477A9" w:rsidRPr="00D90C2F" w:rsidRDefault="006477A9" w:rsidP="003A4839">
      <w:r w:rsidRPr="00D90C2F">
        <w:separator/>
      </w:r>
    </w:p>
  </w:footnote>
  <w:footnote w:type="continuationSeparator" w:id="0">
    <w:p w14:paraId="6D4CF0FD" w14:textId="77777777" w:rsidR="006477A9" w:rsidRPr="00D90C2F" w:rsidRDefault="006477A9" w:rsidP="003A4839">
      <w:r w:rsidRPr="00D90C2F">
        <w:continuationSeparator/>
      </w:r>
    </w:p>
  </w:footnote>
  <w:footnote w:id="1">
    <w:p w14:paraId="3A2DECED" w14:textId="5139D084" w:rsidR="005A54E4" w:rsidRPr="00D90C2F" w:rsidRDefault="005A54E4">
      <w:pPr>
        <w:pStyle w:val="FootnoteText"/>
      </w:pPr>
      <w:r w:rsidRPr="00D90C2F">
        <w:rPr>
          <w:rStyle w:val="FootnoteReference"/>
        </w:rPr>
        <w:footnoteRef/>
      </w:r>
      <w:r w:rsidRPr="00D90C2F">
        <w:t xml:space="preserve"> Queensland Independent Disability Advocacy Network, ‘QIDAN response to the DFVP and other legislation amendment bill 2025’, May 2025, </w:t>
      </w:r>
      <w:hyperlink r:id="rId1" w:history="1">
        <w:r w:rsidRPr="00D90C2F">
          <w:rPr>
            <w:rStyle w:val="Hyperlink"/>
          </w:rPr>
          <w:t>https://qidan.org.au/wp-content/uploads/2025/09/QIDAN-response-to-the-DFVP-and-other-legislation-amendment-bill-2025.pdf</w:t>
        </w:r>
      </w:hyperlink>
      <w:r w:rsidRPr="00D90C2F">
        <w:t xml:space="preserve">. </w:t>
      </w:r>
    </w:p>
  </w:footnote>
  <w:footnote w:id="2">
    <w:p w14:paraId="635E9C60" w14:textId="548424AB" w:rsidR="00C213C2" w:rsidRDefault="00C213C2">
      <w:pPr>
        <w:pStyle w:val="FootnoteText"/>
      </w:pPr>
      <w:r>
        <w:rPr>
          <w:rStyle w:val="FootnoteReference"/>
        </w:rPr>
        <w:footnoteRef/>
      </w:r>
      <w:r>
        <w:t xml:space="preserve"> </w:t>
      </w:r>
      <w:r w:rsidR="00CD5EF1" w:rsidRPr="00D90C2F">
        <w:t>Queensland Independent Disability Advocacy Network</w:t>
      </w:r>
      <w:r w:rsidR="00CD5EF1">
        <w:t>, ‘</w:t>
      </w:r>
      <w:r w:rsidR="00020B32">
        <w:t xml:space="preserve"> QIDAN response to </w:t>
      </w:r>
      <w:r w:rsidR="00D866AA">
        <w:t xml:space="preserve">the </w:t>
      </w:r>
      <w:r w:rsidR="00D866AA" w:rsidRPr="00D866AA">
        <w:t>Accessible Queensland Courts and Tribunals Consultation</w:t>
      </w:r>
      <w:r w:rsidR="00D866AA">
        <w:t xml:space="preserve">’, 22 May 2026, </w:t>
      </w:r>
      <w:hyperlink r:id="rId2" w:history="1">
        <w:r w:rsidR="00C026DC" w:rsidRPr="00A914B8">
          <w:rPr>
            <w:rStyle w:val="Hyperlink"/>
          </w:rPr>
          <w:t>https://qidan.org.au/wp-content/uploads/2026/05/QIDAN-response-to-Accessible-Courts-and-Tribunals-consult.pdf</w:t>
        </w:r>
      </w:hyperlink>
      <w:r w:rsidR="00C026DC">
        <w:t xml:space="preserve">. </w:t>
      </w:r>
    </w:p>
  </w:footnote>
  <w:footnote w:id="3">
    <w:p w14:paraId="75522F29" w14:textId="029C4B25" w:rsidR="00675BF9" w:rsidRDefault="00675BF9" w:rsidP="006148C2">
      <w:pPr>
        <w:pStyle w:val="FootnoteText"/>
      </w:pPr>
      <w:r>
        <w:rPr>
          <w:rStyle w:val="FootnoteReference"/>
        </w:rPr>
        <w:footnoteRef/>
      </w:r>
      <w:r>
        <w:t xml:space="preserve"> </w:t>
      </w:r>
      <w:r w:rsidR="006148C2" w:rsidRPr="006148C2">
        <w:t xml:space="preserve">Royal Commission into Violence, Abuse, Neglect and Exploitation of People with Disabilty, ‘Final Report’, Vol </w:t>
      </w:r>
      <w:r w:rsidR="006148C2">
        <w:t>8</w:t>
      </w:r>
      <w:r w:rsidR="006148C2" w:rsidRPr="006148C2">
        <w:t>, p 2</w:t>
      </w:r>
      <w:r w:rsidR="003136D6">
        <w:t xml:space="preserve">76, </w:t>
      </w:r>
      <w:hyperlink r:id="rId3" w:history="1">
        <w:r w:rsidR="003136D6" w:rsidRPr="00B34918">
          <w:rPr>
            <w:rStyle w:val="Hyperlink"/>
          </w:rPr>
          <w:t>https://disability.royalcommission.gov.au/system/files/2023-09/Final%20Report%20-%20Volume%208%2C%20Criminal%20justice%20and%20people%20with%20disability.pdf</w:t>
        </w:r>
      </w:hyperlink>
      <w:r w:rsidR="003136D6">
        <w:t xml:space="preserve">. </w:t>
      </w:r>
    </w:p>
  </w:footnote>
  <w:footnote w:id="4">
    <w:p w14:paraId="10CEFD6D" w14:textId="102290EE" w:rsidR="00521ACD" w:rsidRPr="000E45FF" w:rsidRDefault="00521ACD">
      <w:pPr>
        <w:pStyle w:val="FootnoteText"/>
      </w:pPr>
      <w:r w:rsidRPr="000E45FF">
        <w:rPr>
          <w:rStyle w:val="FootnoteReference"/>
        </w:rPr>
        <w:footnoteRef/>
      </w:r>
      <w:r w:rsidRPr="000E45FF">
        <w:t xml:space="preserve"> </w:t>
      </w:r>
      <w:r w:rsidR="00B63D79" w:rsidRPr="00E77E79">
        <w:rPr>
          <w:i/>
          <w:iCs/>
        </w:rPr>
        <w:t>Domestic and Family Violence Protection and Other Legislation Amendment Bill 2026</w:t>
      </w:r>
      <w:r w:rsidR="00B63D79" w:rsidRPr="000E45FF">
        <w:t xml:space="preserve"> (Qld)</w:t>
      </w:r>
      <w:r w:rsidR="00B63D79">
        <w:t xml:space="preserve">, cls </w:t>
      </w:r>
      <w:r w:rsidR="00F25443">
        <w:t xml:space="preserve">46-48. </w:t>
      </w:r>
    </w:p>
  </w:footnote>
  <w:footnote w:id="5">
    <w:p w14:paraId="3B67D4F4" w14:textId="1DA3B05F" w:rsidR="006451CF" w:rsidRPr="000E45FF" w:rsidRDefault="006451CF">
      <w:pPr>
        <w:pStyle w:val="FootnoteText"/>
      </w:pPr>
      <w:r w:rsidRPr="000E45FF">
        <w:rPr>
          <w:rStyle w:val="FootnoteReference"/>
        </w:rPr>
        <w:footnoteRef/>
      </w:r>
      <w:r w:rsidRPr="000E45FF">
        <w:t xml:space="preserve"> </w:t>
      </w:r>
      <w:r w:rsidR="00A26C92" w:rsidRPr="000E45FF">
        <w:t>E</w:t>
      </w:r>
      <w:r w:rsidR="0053451A" w:rsidRPr="000E45FF">
        <w:t>xplanatory Note</w:t>
      </w:r>
      <w:r w:rsidR="00E77E79">
        <w:t>s</w:t>
      </w:r>
      <w:r w:rsidR="0053451A" w:rsidRPr="000E45FF">
        <w:t xml:space="preserve">, </w:t>
      </w:r>
      <w:r w:rsidR="007819F9" w:rsidRPr="00E77E79">
        <w:rPr>
          <w:i/>
          <w:iCs/>
        </w:rPr>
        <w:t>Domestic and Family Violence</w:t>
      </w:r>
      <w:r w:rsidR="0015704F" w:rsidRPr="00E77E79">
        <w:rPr>
          <w:i/>
          <w:iCs/>
        </w:rPr>
        <w:t xml:space="preserve"> Protection and Other Legislation Amendment Bill 2026</w:t>
      </w:r>
      <w:r w:rsidR="00D2220F" w:rsidRPr="000E45FF">
        <w:t xml:space="preserve"> (Qld), 7, 57</w:t>
      </w:r>
      <w:r w:rsidR="00F25443">
        <w:t xml:space="preserve">, </w:t>
      </w:r>
      <w:hyperlink r:id="rId4" w:history="1">
        <w:r w:rsidR="00F25443" w:rsidRPr="00B34918">
          <w:rPr>
            <w:rStyle w:val="Hyperlink"/>
          </w:rPr>
          <w:t>https://documents.parliament.qld.gov.au/bills/2026/5309/Domestic-and-Family-Violence-Protection-and-Other-Legislation-Amendment-Bill-2026---Explanatory-Notes-d176.pdf</w:t>
        </w:r>
      </w:hyperlink>
      <w:r w:rsidR="00F25443">
        <w:t xml:space="preserve">. </w:t>
      </w:r>
    </w:p>
  </w:footnote>
  <w:footnote w:id="6">
    <w:p w14:paraId="4C3B2AB7" w14:textId="1402C828" w:rsidR="00D00F1F" w:rsidRDefault="00D00F1F">
      <w:pPr>
        <w:pStyle w:val="FootnoteText"/>
      </w:pPr>
      <w:r w:rsidRPr="000E45FF">
        <w:rPr>
          <w:rStyle w:val="FootnoteReference"/>
        </w:rPr>
        <w:footnoteRef/>
      </w:r>
      <w:r>
        <w:t xml:space="preserve"> </w:t>
      </w:r>
      <w:r w:rsidR="00C8413A">
        <w:t>Domestic and Family Violence Protection Act 2012 (Qld), s 84(4).</w:t>
      </w:r>
    </w:p>
  </w:footnote>
  <w:footnote w:id="7">
    <w:p w14:paraId="652D0E1D" w14:textId="57E972E1" w:rsidR="00AC05C4" w:rsidRDefault="00AC05C4">
      <w:pPr>
        <w:pStyle w:val="FootnoteText"/>
      </w:pPr>
      <w:r>
        <w:rPr>
          <w:rStyle w:val="FootnoteReference"/>
        </w:rPr>
        <w:footnoteRef/>
      </w:r>
      <w:r>
        <w:t xml:space="preserve"> </w:t>
      </w:r>
      <w:r w:rsidR="004F0DD5">
        <w:t>Mental Health Act 2016 (Qld), s 172(2).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25DE" w14:textId="77777777" w:rsidR="003A4839" w:rsidRPr="00D90C2F" w:rsidRDefault="003A4839">
    <w:pPr>
      <w:pStyle w:val="Header"/>
    </w:pPr>
    <w:r w:rsidRPr="00D90C2F">
      <w:rPr>
        <w:noProof/>
      </w:rPr>
      <w:drawing>
        <wp:anchor distT="0" distB="0" distL="114300" distR="114300" simplePos="0" relativeHeight="251658240" behindDoc="1" locked="0" layoutInCell="1" allowOverlap="0" wp14:anchorId="0FBADB6C" wp14:editId="0E807516">
          <wp:simplePos x="0" y="0"/>
          <wp:positionH relativeFrom="page">
            <wp:align>left</wp:align>
          </wp:positionH>
          <wp:positionV relativeFrom="page">
            <wp:align>top</wp:align>
          </wp:positionV>
          <wp:extent cx="7560000" cy="10684800"/>
          <wp:effectExtent l="0" t="0" r="0" b="0"/>
          <wp:wrapNone/>
          <wp:docPr id="679406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75622" name="Picture 32867562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88EB" w14:textId="77777777" w:rsidR="003A4839" w:rsidRPr="00D90C2F" w:rsidRDefault="003A4839">
    <w:pPr>
      <w:pStyle w:val="Header"/>
    </w:pPr>
    <w:r w:rsidRPr="00D90C2F">
      <w:rPr>
        <w:noProof/>
      </w:rPr>
      <w:drawing>
        <wp:anchor distT="0" distB="0" distL="114300" distR="114300" simplePos="0" relativeHeight="251658241" behindDoc="1" locked="0" layoutInCell="1" allowOverlap="0" wp14:anchorId="71187EF7" wp14:editId="53CBCFDA">
          <wp:simplePos x="0" y="0"/>
          <wp:positionH relativeFrom="page">
            <wp:posOffset>172</wp:posOffset>
          </wp:positionH>
          <wp:positionV relativeFrom="page">
            <wp:posOffset>12065</wp:posOffset>
          </wp:positionV>
          <wp:extent cx="7560000" cy="9592941"/>
          <wp:effectExtent l="0" t="0" r="0" b="0"/>
          <wp:wrapNone/>
          <wp:docPr id="56174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1141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60000" cy="95929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F13EF"/>
    <w:multiLevelType w:val="hybridMultilevel"/>
    <w:tmpl w:val="9942F3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1C425E8"/>
    <w:multiLevelType w:val="hybridMultilevel"/>
    <w:tmpl w:val="B90A2A1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651564248">
    <w:abstractNumId w:val="0"/>
  </w:num>
  <w:num w:numId="2" w16cid:durableId="1110078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687"/>
    <w:rsid w:val="00002CFD"/>
    <w:rsid w:val="00006BAD"/>
    <w:rsid w:val="0001268F"/>
    <w:rsid w:val="00020B32"/>
    <w:rsid w:val="00020E5B"/>
    <w:rsid w:val="0002300A"/>
    <w:rsid w:val="0003037F"/>
    <w:rsid w:val="00036B8D"/>
    <w:rsid w:val="00037479"/>
    <w:rsid w:val="00040715"/>
    <w:rsid w:val="000412B4"/>
    <w:rsid w:val="00051BDC"/>
    <w:rsid w:val="00052267"/>
    <w:rsid w:val="0005354B"/>
    <w:rsid w:val="00055749"/>
    <w:rsid w:val="00071C73"/>
    <w:rsid w:val="0007283E"/>
    <w:rsid w:val="000822A2"/>
    <w:rsid w:val="00082F38"/>
    <w:rsid w:val="000858A7"/>
    <w:rsid w:val="00086ACC"/>
    <w:rsid w:val="000973B4"/>
    <w:rsid w:val="00097491"/>
    <w:rsid w:val="000A21E2"/>
    <w:rsid w:val="000A7774"/>
    <w:rsid w:val="000C10A2"/>
    <w:rsid w:val="000C5CD7"/>
    <w:rsid w:val="000D26CD"/>
    <w:rsid w:val="000D677B"/>
    <w:rsid w:val="000E45FF"/>
    <w:rsid w:val="000F4E8D"/>
    <w:rsid w:val="000F7C8A"/>
    <w:rsid w:val="00101288"/>
    <w:rsid w:val="001022E5"/>
    <w:rsid w:val="00121A52"/>
    <w:rsid w:val="0012332B"/>
    <w:rsid w:val="00124682"/>
    <w:rsid w:val="00127375"/>
    <w:rsid w:val="00131187"/>
    <w:rsid w:val="0013225F"/>
    <w:rsid w:val="001375E0"/>
    <w:rsid w:val="00145866"/>
    <w:rsid w:val="001509E4"/>
    <w:rsid w:val="00150D20"/>
    <w:rsid w:val="00156FB0"/>
    <w:rsid w:val="0015704F"/>
    <w:rsid w:val="00157445"/>
    <w:rsid w:val="00164943"/>
    <w:rsid w:val="0017320C"/>
    <w:rsid w:val="00187215"/>
    <w:rsid w:val="00194ACA"/>
    <w:rsid w:val="00196483"/>
    <w:rsid w:val="001A412D"/>
    <w:rsid w:val="001B26F1"/>
    <w:rsid w:val="001C054E"/>
    <w:rsid w:val="001C0A8B"/>
    <w:rsid w:val="001D0BB7"/>
    <w:rsid w:val="001D4F24"/>
    <w:rsid w:val="001E41DF"/>
    <w:rsid w:val="001E58E0"/>
    <w:rsid w:val="001E7B4B"/>
    <w:rsid w:val="001F05E5"/>
    <w:rsid w:val="001F3720"/>
    <w:rsid w:val="001F664F"/>
    <w:rsid w:val="00204635"/>
    <w:rsid w:val="00204ABD"/>
    <w:rsid w:val="002274C9"/>
    <w:rsid w:val="00232E85"/>
    <w:rsid w:val="00237CD5"/>
    <w:rsid w:val="002417CA"/>
    <w:rsid w:val="0025067C"/>
    <w:rsid w:val="00264326"/>
    <w:rsid w:val="002730B9"/>
    <w:rsid w:val="00273FF3"/>
    <w:rsid w:val="00274C9D"/>
    <w:rsid w:val="0028511B"/>
    <w:rsid w:val="00285632"/>
    <w:rsid w:val="00286C18"/>
    <w:rsid w:val="0028781E"/>
    <w:rsid w:val="00287AD0"/>
    <w:rsid w:val="00290313"/>
    <w:rsid w:val="00291041"/>
    <w:rsid w:val="00291F4D"/>
    <w:rsid w:val="002A6FC8"/>
    <w:rsid w:val="002C2816"/>
    <w:rsid w:val="002C6FBD"/>
    <w:rsid w:val="002D07F0"/>
    <w:rsid w:val="002D2537"/>
    <w:rsid w:val="002E323C"/>
    <w:rsid w:val="002E3FF8"/>
    <w:rsid w:val="002F2262"/>
    <w:rsid w:val="00302D26"/>
    <w:rsid w:val="00307EC6"/>
    <w:rsid w:val="003136D6"/>
    <w:rsid w:val="00313DD8"/>
    <w:rsid w:val="003216DC"/>
    <w:rsid w:val="00323722"/>
    <w:rsid w:val="003423E0"/>
    <w:rsid w:val="003446FD"/>
    <w:rsid w:val="00355A13"/>
    <w:rsid w:val="00360E99"/>
    <w:rsid w:val="00363E93"/>
    <w:rsid w:val="00365B80"/>
    <w:rsid w:val="0036699F"/>
    <w:rsid w:val="00372552"/>
    <w:rsid w:val="00372632"/>
    <w:rsid w:val="00374B79"/>
    <w:rsid w:val="00377D74"/>
    <w:rsid w:val="0038355A"/>
    <w:rsid w:val="00393E50"/>
    <w:rsid w:val="003953D9"/>
    <w:rsid w:val="003A0AB3"/>
    <w:rsid w:val="003A4839"/>
    <w:rsid w:val="003A7D34"/>
    <w:rsid w:val="003E3D14"/>
    <w:rsid w:val="003E4D85"/>
    <w:rsid w:val="003E7934"/>
    <w:rsid w:val="003F39C7"/>
    <w:rsid w:val="003F3AEB"/>
    <w:rsid w:val="003F4A45"/>
    <w:rsid w:val="003F5DDC"/>
    <w:rsid w:val="003F727D"/>
    <w:rsid w:val="00402D5A"/>
    <w:rsid w:val="00413532"/>
    <w:rsid w:val="004218B8"/>
    <w:rsid w:val="00422727"/>
    <w:rsid w:val="00425878"/>
    <w:rsid w:val="00426BA9"/>
    <w:rsid w:val="0043766D"/>
    <w:rsid w:val="004430FB"/>
    <w:rsid w:val="00445F2B"/>
    <w:rsid w:val="00446A45"/>
    <w:rsid w:val="0045243C"/>
    <w:rsid w:val="004601F1"/>
    <w:rsid w:val="00472734"/>
    <w:rsid w:val="004759BA"/>
    <w:rsid w:val="00477EE2"/>
    <w:rsid w:val="00480897"/>
    <w:rsid w:val="0048584F"/>
    <w:rsid w:val="00487257"/>
    <w:rsid w:val="00487C9C"/>
    <w:rsid w:val="00491E17"/>
    <w:rsid w:val="004951BD"/>
    <w:rsid w:val="00496A92"/>
    <w:rsid w:val="004977F9"/>
    <w:rsid w:val="004A20CD"/>
    <w:rsid w:val="004A4896"/>
    <w:rsid w:val="004B179E"/>
    <w:rsid w:val="004B3F5B"/>
    <w:rsid w:val="004C2A8A"/>
    <w:rsid w:val="004D065C"/>
    <w:rsid w:val="004D40F3"/>
    <w:rsid w:val="004D61D9"/>
    <w:rsid w:val="004D6AA3"/>
    <w:rsid w:val="004E13D3"/>
    <w:rsid w:val="004E6E9B"/>
    <w:rsid w:val="004F0DD5"/>
    <w:rsid w:val="004F17DD"/>
    <w:rsid w:val="004F282F"/>
    <w:rsid w:val="004F3801"/>
    <w:rsid w:val="00505D6E"/>
    <w:rsid w:val="00505EFC"/>
    <w:rsid w:val="00510446"/>
    <w:rsid w:val="00514CB1"/>
    <w:rsid w:val="0052152D"/>
    <w:rsid w:val="00521ACD"/>
    <w:rsid w:val="00522615"/>
    <w:rsid w:val="00522ECA"/>
    <w:rsid w:val="00524E56"/>
    <w:rsid w:val="005256B5"/>
    <w:rsid w:val="00533E34"/>
    <w:rsid w:val="0053451A"/>
    <w:rsid w:val="00537253"/>
    <w:rsid w:val="00546FEC"/>
    <w:rsid w:val="00547435"/>
    <w:rsid w:val="005518DA"/>
    <w:rsid w:val="00551C81"/>
    <w:rsid w:val="00554966"/>
    <w:rsid w:val="00556F0D"/>
    <w:rsid w:val="0056541E"/>
    <w:rsid w:val="00575B4B"/>
    <w:rsid w:val="005865B9"/>
    <w:rsid w:val="00592B07"/>
    <w:rsid w:val="005A0DF0"/>
    <w:rsid w:val="005A54E4"/>
    <w:rsid w:val="005A5DF5"/>
    <w:rsid w:val="005C3989"/>
    <w:rsid w:val="005C42E8"/>
    <w:rsid w:val="005D0E26"/>
    <w:rsid w:val="005D7802"/>
    <w:rsid w:val="005E157D"/>
    <w:rsid w:val="005F143B"/>
    <w:rsid w:val="005F344F"/>
    <w:rsid w:val="005F3ED3"/>
    <w:rsid w:val="005F5FD7"/>
    <w:rsid w:val="0060624E"/>
    <w:rsid w:val="00612534"/>
    <w:rsid w:val="00612BDA"/>
    <w:rsid w:val="006148C2"/>
    <w:rsid w:val="00621A6A"/>
    <w:rsid w:val="006434D4"/>
    <w:rsid w:val="006451CF"/>
    <w:rsid w:val="006477A9"/>
    <w:rsid w:val="00656228"/>
    <w:rsid w:val="006576E5"/>
    <w:rsid w:val="00660B63"/>
    <w:rsid w:val="00662391"/>
    <w:rsid w:val="00673B85"/>
    <w:rsid w:val="00675BF9"/>
    <w:rsid w:val="00677786"/>
    <w:rsid w:val="00680406"/>
    <w:rsid w:val="006833D8"/>
    <w:rsid w:val="0068603C"/>
    <w:rsid w:val="00690F88"/>
    <w:rsid w:val="006970E2"/>
    <w:rsid w:val="006A0A62"/>
    <w:rsid w:val="006A62E7"/>
    <w:rsid w:val="006B770F"/>
    <w:rsid w:val="006D2E40"/>
    <w:rsid w:val="006D384E"/>
    <w:rsid w:val="006D7568"/>
    <w:rsid w:val="006E1ACE"/>
    <w:rsid w:val="006E319E"/>
    <w:rsid w:val="006E43B3"/>
    <w:rsid w:val="006F0AF6"/>
    <w:rsid w:val="006F74E7"/>
    <w:rsid w:val="00700B1B"/>
    <w:rsid w:val="00700BCD"/>
    <w:rsid w:val="007023C1"/>
    <w:rsid w:val="00703CFE"/>
    <w:rsid w:val="00707E88"/>
    <w:rsid w:val="00717642"/>
    <w:rsid w:val="0072356C"/>
    <w:rsid w:val="00724B2E"/>
    <w:rsid w:val="007254AF"/>
    <w:rsid w:val="00727144"/>
    <w:rsid w:val="007327D8"/>
    <w:rsid w:val="007361B1"/>
    <w:rsid w:val="00736D33"/>
    <w:rsid w:val="00737558"/>
    <w:rsid w:val="007414A9"/>
    <w:rsid w:val="00750919"/>
    <w:rsid w:val="007579B0"/>
    <w:rsid w:val="00761265"/>
    <w:rsid w:val="007614C2"/>
    <w:rsid w:val="007819F9"/>
    <w:rsid w:val="00791235"/>
    <w:rsid w:val="00794FEC"/>
    <w:rsid w:val="00795C07"/>
    <w:rsid w:val="00797BC8"/>
    <w:rsid w:val="007A25BF"/>
    <w:rsid w:val="007A50FC"/>
    <w:rsid w:val="007A566B"/>
    <w:rsid w:val="007A713F"/>
    <w:rsid w:val="007B68C4"/>
    <w:rsid w:val="007C0293"/>
    <w:rsid w:val="00800A7F"/>
    <w:rsid w:val="00801D9B"/>
    <w:rsid w:val="00802E85"/>
    <w:rsid w:val="0081117D"/>
    <w:rsid w:val="00814910"/>
    <w:rsid w:val="00820475"/>
    <w:rsid w:val="00823A48"/>
    <w:rsid w:val="00827434"/>
    <w:rsid w:val="00835B45"/>
    <w:rsid w:val="00840880"/>
    <w:rsid w:val="008432C5"/>
    <w:rsid w:val="00844071"/>
    <w:rsid w:val="00846A92"/>
    <w:rsid w:val="00846E75"/>
    <w:rsid w:val="008520A6"/>
    <w:rsid w:val="00855B30"/>
    <w:rsid w:val="00860FAA"/>
    <w:rsid w:val="00862456"/>
    <w:rsid w:val="008725E6"/>
    <w:rsid w:val="00874807"/>
    <w:rsid w:val="00894277"/>
    <w:rsid w:val="00894FDF"/>
    <w:rsid w:val="008A2B2B"/>
    <w:rsid w:val="008B5DE0"/>
    <w:rsid w:val="008C38EC"/>
    <w:rsid w:val="008C6133"/>
    <w:rsid w:val="008C6784"/>
    <w:rsid w:val="008D1300"/>
    <w:rsid w:val="008D28B4"/>
    <w:rsid w:val="008F087F"/>
    <w:rsid w:val="008F1F42"/>
    <w:rsid w:val="008F241B"/>
    <w:rsid w:val="008F4AD1"/>
    <w:rsid w:val="0090117D"/>
    <w:rsid w:val="009073A5"/>
    <w:rsid w:val="009125AE"/>
    <w:rsid w:val="0091545F"/>
    <w:rsid w:val="009263B4"/>
    <w:rsid w:val="00930A55"/>
    <w:rsid w:val="00932229"/>
    <w:rsid w:val="009343C8"/>
    <w:rsid w:val="0093705B"/>
    <w:rsid w:val="00937259"/>
    <w:rsid w:val="00940802"/>
    <w:rsid w:val="0094198A"/>
    <w:rsid w:val="00947A8E"/>
    <w:rsid w:val="00950B1B"/>
    <w:rsid w:val="0096001E"/>
    <w:rsid w:val="00967E6C"/>
    <w:rsid w:val="009716EC"/>
    <w:rsid w:val="00971713"/>
    <w:rsid w:val="00977724"/>
    <w:rsid w:val="009838EB"/>
    <w:rsid w:val="00984883"/>
    <w:rsid w:val="009866A0"/>
    <w:rsid w:val="0099300B"/>
    <w:rsid w:val="009A5D1A"/>
    <w:rsid w:val="009B5C41"/>
    <w:rsid w:val="009B7C44"/>
    <w:rsid w:val="009C242E"/>
    <w:rsid w:val="009C2D3E"/>
    <w:rsid w:val="009C4A56"/>
    <w:rsid w:val="009C61D6"/>
    <w:rsid w:val="009D0C18"/>
    <w:rsid w:val="009F018E"/>
    <w:rsid w:val="009F0871"/>
    <w:rsid w:val="009F0AD1"/>
    <w:rsid w:val="009F30ED"/>
    <w:rsid w:val="009F32F6"/>
    <w:rsid w:val="009F547B"/>
    <w:rsid w:val="009F6FEB"/>
    <w:rsid w:val="00A007AC"/>
    <w:rsid w:val="00A01579"/>
    <w:rsid w:val="00A06964"/>
    <w:rsid w:val="00A22FA0"/>
    <w:rsid w:val="00A26C92"/>
    <w:rsid w:val="00A33B2C"/>
    <w:rsid w:val="00A34D46"/>
    <w:rsid w:val="00A438E1"/>
    <w:rsid w:val="00A445A7"/>
    <w:rsid w:val="00A46A5C"/>
    <w:rsid w:val="00A52AA6"/>
    <w:rsid w:val="00A6464E"/>
    <w:rsid w:val="00A82680"/>
    <w:rsid w:val="00A844A3"/>
    <w:rsid w:val="00A84B0C"/>
    <w:rsid w:val="00A90586"/>
    <w:rsid w:val="00A95521"/>
    <w:rsid w:val="00A96A83"/>
    <w:rsid w:val="00AA14F8"/>
    <w:rsid w:val="00AA4117"/>
    <w:rsid w:val="00AA656D"/>
    <w:rsid w:val="00AB1683"/>
    <w:rsid w:val="00AB458D"/>
    <w:rsid w:val="00AC05C4"/>
    <w:rsid w:val="00AC2496"/>
    <w:rsid w:val="00AE28B1"/>
    <w:rsid w:val="00AF23A7"/>
    <w:rsid w:val="00AF4F58"/>
    <w:rsid w:val="00AF755E"/>
    <w:rsid w:val="00B03B76"/>
    <w:rsid w:val="00B045B0"/>
    <w:rsid w:val="00B06502"/>
    <w:rsid w:val="00B07F72"/>
    <w:rsid w:val="00B278DE"/>
    <w:rsid w:val="00B3514D"/>
    <w:rsid w:val="00B42254"/>
    <w:rsid w:val="00B54B51"/>
    <w:rsid w:val="00B56500"/>
    <w:rsid w:val="00B567F5"/>
    <w:rsid w:val="00B63D79"/>
    <w:rsid w:val="00B70B55"/>
    <w:rsid w:val="00B80307"/>
    <w:rsid w:val="00B83EC3"/>
    <w:rsid w:val="00B97B4F"/>
    <w:rsid w:val="00BA1244"/>
    <w:rsid w:val="00BA1855"/>
    <w:rsid w:val="00BA43C0"/>
    <w:rsid w:val="00BB3C5A"/>
    <w:rsid w:val="00BC4FD6"/>
    <w:rsid w:val="00BC6522"/>
    <w:rsid w:val="00BD01BD"/>
    <w:rsid w:val="00BD0B98"/>
    <w:rsid w:val="00BD286A"/>
    <w:rsid w:val="00BE2864"/>
    <w:rsid w:val="00BE5DC2"/>
    <w:rsid w:val="00BF6514"/>
    <w:rsid w:val="00C026DC"/>
    <w:rsid w:val="00C026FA"/>
    <w:rsid w:val="00C070F9"/>
    <w:rsid w:val="00C12A2D"/>
    <w:rsid w:val="00C213C2"/>
    <w:rsid w:val="00C259D3"/>
    <w:rsid w:val="00C27B2C"/>
    <w:rsid w:val="00C33D9F"/>
    <w:rsid w:val="00C36708"/>
    <w:rsid w:val="00C37595"/>
    <w:rsid w:val="00C46321"/>
    <w:rsid w:val="00C517CB"/>
    <w:rsid w:val="00C52079"/>
    <w:rsid w:val="00C60592"/>
    <w:rsid w:val="00C631DF"/>
    <w:rsid w:val="00C6334E"/>
    <w:rsid w:val="00C75088"/>
    <w:rsid w:val="00C7534E"/>
    <w:rsid w:val="00C8226E"/>
    <w:rsid w:val="00C83057"/>
    <w:rsid w:val="00C8413A"/>
    <w:rsid w:val="00C91D61"/>
    <w:rsid w:val="00C929DA"/>
    <w:rsid w:val="00C93958"/>
    <w:rsid w:val="00C962E6"/>
    <w:rsid w:val="00CA626C"/>
    <w:rsid w:val="00CA69CE"/>
    <w:rsid w:val="00CB0D6F"/>
    <w:rsid w:val="00CB4649"/>
    <w:rsid w:val="00CB7B24"/>
    <w:rsid w:val="00CC1086"/>
    <w:rsid w:val="00CD3D77"/>
    <w:rsid w:val="00CD5EF1"/>
    <w:rsid w:val="00CD65FA"/>
    <w:rsid w:val="00CE1E2C"/>
    <w:rsid w:val="00CF792F"/>
    <w:rsid w:val="00D00F1F"/>
    <w:rsid w:val="00D01D72"/>
    <w:rsid w:val="00D0260F"/>
    <w:rsid w:val="00D05C8E"/>
    <w:rsid w:val="00D10407"/>
    <w:rsid w:val="00D2220F"/>
    <w:rsid w:val="00D267A2"/>
    <w:rsid w:val="00D33C13"/>
    <w:rsid w:val="00D366F8"/>
    <w:rsid w:val="00D41778"/>
    <w:rsid w:val="00D52747"/>
    <w:rsid w:val="00D611DC"/>
    <w:rsid w:val="00D63AD6"/>
    <w:rsid w:val="00D66193"/>
    <w:rsid w:val="00D679F5"/>
    <w:rsid w:val="00D74192"/>
    <w:rsid w:val="00D75C7A"/>
    <w:rsid w:val="00D764FD"/>
    <w:rsid w:val="00D774C0"/>
    <w:rsid w:val="00D80442"/>
    <w:rsid w:val="00D84BED"/>
    <w:rsid w:val="00D866AA"/>
    <w:rsid w:val="00D90C2F"/>
    <w:rsid w:val="00D91167"/>
    <w:rsid w:val="00D92D79"/>
    <w:rsid w:val="00D97748"/>
    <w:rsid w:val="00DA388F"/>
    <w:rsid w:val="00DA53ED"/>
    <w:rsid w:val="00DA6C9A"/>
    <w:rsid w:val="00DB1B12"/>
    <w:rsid w:val="00DB6341"/>
    <w:rsid w:val="00DB6BC0"/>
    <w:rsid w:val="00DC412B"/>
    <w:rsid w:val="00DC5370"/>
    <w:rsid w:val="00DD0B28"/>
    <w:rsid w:val="00DD45F6"/>
    <w:rsid w:val="00E03F96"/>
    <w:rsid w:val="00E1422C"/>
    <w:rsid w:val="00E21776"/>
    <w:rsid w:val="00E25D59"/>
    <w:rsid w:val="00E30289"/>
    <w:rsid w:val="00E33F2A"/>
    <w:rsid w:val="00E34D5C"/>
    <w:rsid w:val="00E3748D"/>
    <w:rsid w:val="00E45F7F"/>
    <w:rsid w:val="00E52687"/>
    <w:rsid w:val="00E64F6B"/>
    <w:rsid w:val="00E65060"/>
    <w:rsid w:val="00E72406"/>
    <w:rsid w:val="00E77E79"/>
    <w:rsid w:val="00E85F61"/>
    <w:rsid w:val="00E91B98"/>
    <w:rsid w:val="00EA32BA"/>
    <w:rsid w:val="00EB1227"/>
    <w:rsid w:val="00EB78ED"/>
    <w:rsid w:val="00EC2FB8"/>
    <w:rsid w:val="00EC3B4B"/>
    <w:rsid w:val="00EC488A"/>
    <w:rsid w:val="00EC7B1B"/>
    <w:rsid w:val="00EE1544"/>
    <w:rsid w:val="00EE28A7"/>
    <w:rsid w:val="00EE53BD"/>
    <w:rsid w:val="00EF7C0D"/>
    <w:rsid w:val="00F032FE"/>
    <w:rsid w:val="00F1343C"/>
    <w:rsid w:val="00F2072E"/>
    <w:rsid w:val="00F21CB6"/>
    <w:rsid w:val="00F25443"/>
    <w:rsid w:val="00F324AF"/>
    <w:rsid w:val="00F41CD7"/>
    <w:rsid w:val="00F469BB"/>
    <w:rsid w:val="00F55D3F"/>
    <w:rsid w:val="00F56475"/>
    <w:rsid w:val="00F62952"/>
    <w:rsid w:val="00F66972"/>
    <w:rsid w:val="00F66CF3"/>
    <w:rsid w:val="00F840E9"/>
    <w:rsid w:val="00F846B7"/>
    <w:rsid w:val="00F91EE7"/>
    <w:rsid w:val="00F95A93"/>
    <w:rsid w:val="00FA268E"/>
    <w:rsid w:val="00FA3C99"/>
    <w:rsid w:val="00FA4C2E"/>
    <w:rsid w:val="00FA7FE0"/>
    <w:rsid w:val="00FB758C"/>
    <w:rsid w:val="00FD087D"/>
    <w:rsid w:val="00FD0D3B"/>
    <w:rsid w:val="00FD4A50"/>
    <w:rsid w:val="00FF344A"/>
    <w:rsid w:val="00FF4684"/>
    <w:rsid w:val="00FF4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CF9A1"/>
  <w14:defaultImageDpi w14:val="32767"/>
  <w15:chartTrackingRefBased/>
  <w15:docId w15:val="{8A233441-8851-4C0D-BC02-55A043F3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lang w:val="en-AU"/>
    </w:rPr>
  </w:style>
  <w:style w:type="paragraph" w:styleId="Heading1">
    <w:name w:val="heading 1"/>
    <w:basedOn w:val="Normal"/>
    <w:next w:val="Normal"/>
    <w:link w:val="Heading1Char"/>
    <w:uiPriority w:val="9"/>
    <w:qFormat/>
    <w:rsid w:val="003A4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8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39"/>
    <w:rPr>
      <w:rFonts w:eastAsiaTheme="majorEastAsia" w:cstheme="majorBidi"/>
      <w:color w:val="272727" w:themeColor="text1" w:themeTint="D8"/>
    </w:rPr>
  </w:style>
  <w:style w:type="paragraph" w:styleId="Title">
    <w:name w:val="Title"/>
    <w:basedOn w:val="Normal"/>
    <w:next w:val="Normal"/>
    <w:link w:val="TitleChar"/>
    <w:uiPriority w:val="10"/>
    <w:qFormat/>
    <w:rsid w:val="003A48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4839"/>
    <w:rPr>
      <w:i/>
      <w:iCs/>
      <w:color w:val="404040" w:themeColor="text1" w:themeTint="BF"/>
    </w:rPr>
  </w:style>
  <w:style w:type="paragraph" w:styleId="ListParagraph">
    <w:name w:val="List Paragraph"/>
    <w:basedOn w:val="Normal"/>
    <w:uiPriority w:val="34"/>
    <w:qFormat/>
    <w:rsid w:val="003A4839"/>
    <w:pPr>
      <w:ind w:left="720"/>
      <w:contextualSpacing/>
    </w:pPr>
  </w:style>
  <w:style w:type="character" w:styleId="IntenseEmphasis">
    <w:name w:val="Intense Emphasis"/>
    <w:basedOn w:val="DefaultParagraphFont"/>
    <w:uiPriority w:val="21"/>
    <w:qFormat/>
    <w:rsid w:val="003A4839"/>
    <w:rPr>
      <w:i/>
      <w:iCs/>
      <w:color w:val="0F4761" w:themeColor="accent1" w:themeShade="BF"/>
    </w:rPr>
  </w:style>
  <w:style w:type="paragraph" w:styleId="IntenseQuote">
    <w:name w:val="Intense Quote"/>
    <w:basedOn w:val="Normal"/>
    <w:next w:val="Normal"/>
    <w:link w:val="IntenseQuoteChar"/>
    <w:uiPriority w:val="30"/>
    <w:qFormat/>
    <w:rsid w:val="003A4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839"/>
    <w:rPr>
      <w:i/>
      <w:iCs/>
      <w:color w:val="0F4761" w:themeColor="accent1" w:themeShade="BF"/>
    </w:rPr>
  </w:style>
  <w:style w:type="character" w:styleId="IntenseReference">
    <w:name w:val="Intense Reference"/>
    <w:basedOn w:val="DefaultParagraphFont"/>
    <w:uiPriority w:val="32"/>
    <w:qFormat/>
    <w:rsid w:val="003A4839"/>
    <w:rPr>
      <w:b/>
      <w:bCs/>
      <w:smallCaps/>
      <w:color w:val="0F4761" w:themeColor="accent1" w:themeShade="BF"/>
      <w:spacing w:val="5"/>
    </w:rPr>
  </w:style>
  <w:style w:type="paragraph" w:styleId="Header">
    <w:name w:val="header"/>
    <w:basedOn w:val="Normal"/>
    <w:link w:val="HeaderChar"/>
    <w:uiPriority w:val="99"/>
    <w:unhideWhenUsed/>
    <w:rsid w:val="003A4839"/>
    <w:pPr>
      <w:tabs>
        <w:tab w:val="center" w:pos="4680"/>
        <w:tab w:val="right" w:pos="9360"/>
      </w:tabs>
    </w:pPr>
  </w:style>
  <w:style w:type="character" w:customStyle="1" w:styleId="HeaderChar">
    <w:name w:val="Header Char"/>
    <w:basedOn w:val="DefaultParagraphFont"/>
    <w:link w:val="Header"/>
    <w:uiPriority w:val="99"/>
    <w:rsid w:val="003A4839"/>
    <w:rPr>
      <w:rFonts w:eastAsiaTheme="minorEastAsia"/>
    </w:rPr>
  </w:style>
  <w:style w:type="paragraph" w:styleId="Footer">
    <w:name w:val="footer"/>
    <w:basedOn w:val="Normal"/>
    <w:link w:val="FooterChar"/>
    <w:uiPriority w:val="99"/>
    <w:unhideWhenUsed/>
    <w:rsid w:val="003A4839"/>
    <w:pPr>
      <w:tabs>
        <w:tab w:val="center" w:pos="4680"/>
        <w:tab w:val="right" w:pos="9360"/>
      </w:tabs>
    </w:pPr>
  </w:style>
  <w:style w:type="character" w:customStyle="1" w:styleId="FooterChar">
    <w:name w:val="Footer Char"/>
    <w:basedOn w:val="DefaultParagraphFont"/>
    <w:link w:val="Footer"/>
    <w:uiPriority w:val="99"/>
    <w:rsid w:val="003A4839"/>
    <w:rPr>
      <w:rFonts w:eastAsiaTheme="minorEastAsia"/>
    </w:rPr>
  </w:style>
  <w:style w:type="character" w:styleId="PageNumber">
    <w:name w:val="page number"/>
    <w:basedOn w:val="DefaultParagraphFont"/>
    <w:uiPriority w:val="99"/>
    <w:semiHidden/>
    <w:unhideWhenUsed/>
    <w:rsid w:val="003F39C7"/>
  </w:style>
  <w:style w:type="paragraph" w:customStyle="1" w:styleId="QIDANParagraph">
    <w:name w:val="QIDAN Paragraph"/>
    <w:basedOn w:val="Normal"/>
    <w:link w:val="QIDANParagraphChar"/>
    <w:qFormat/>
    <w:rsid w:val="00E52687"/>
    <w:pPr>
      <w:spacing w:line="360" w:lineRule="auto"/>
    </w:pPr>
    <w:rPr>
      <w:rFonts w:ascii="Nunito Sans" w:hAnsi="Nunito Sans"/>
      <w:szCs w:val="20"/>
    </w:rPr>
  </w:style>
  <w:style w:type="character" w:customStyle="1" w:styleId="QIDANParagraphChar">
    <w:name w:val="QIDAN Paragraph Char"/>
    <w:basedOn w:val="DefaultParagraphFont"/>
    <w:link w:val="QIDANParagraph"/>
    <w:rsid w:val="00E52687"/>
    <w:rPr>
      <w:rFonts w:ascii="Nunito Sans" w:eastAsiaTheme="minorEastAsia" w:hAnsi="Nunito Sans"/>
      <w:szCs w:val="20"/>
      <w:lang w:val="en-AU"/>
    </w:rPr>
  </w:style>
  <w:style w:type="paragraph" w:customStyle="1" w:styleId="QIDANSubheading">
    <w:name w:val="QIDAN Subheading"/>
    <w:basedOn w:val="QIDANParagraph"/>
    <w:link w:val="QIDANSubheadingChar"/>
    <w:qFormat/>
    <w:rsid w:val="00E52687"/>
    <w:rPr>
      <w:b/>
      <w:color w:val="690048"/>
      <w:sz w:val="28"/>
    </w:rPr>
  </w:style>
  <w:style w:type="character" w:customStyle="1" w:styleId="QIDANSubheadingChar">
    <w:name w:val="QIDAN Subheading Char"/>
    <w:basedOn w:val="QIDANParagraphChar"/>
    <w:link w:val="QIDANSubheading"/>
    <w:rsid w:val="00E52687"/>
    <w:rPr>
      <w:rFonts w:ascii="Nunito Sans" w:eastAsiaTheme="minorEastAsia" w:hAnsi="Nunito Sans"/>
      <w:b/>
      <w:color w:val="690048"/>
      <w:sz w:val="28"/>
      <w:szCs w:val="20"/>
      <w:lang w:val="en-AU"/>
    </w:rPr>
  </w:style>
  <w:style w:type="paragraph" w:styleId="FootnoteText">
    <w:name w:val="footnote text"/>
    <w:basedOn w:val="Normal"/>
    <w:link w:val="FootnoteTextChar"/>
    <w:uiPriority w:val="99"/>
    <w:semiHidden/>
    <w:unhideWhenUsed/>
    <w:rsid w:val="005A54E4"/>
    <w:rPr>
      <w:sz w:val="20"/>
      <w:szCs w:val="20"/>
    </w:rPr>
  </w:style>
  <w:style w:type="character" w:customStyle="1" w:styleId="FootnoteTextChar">
    <w:name w:val="Footnote Text Char"/>
    <w:basedOn w:val="DefaultParagraphFont"/>
    <w:link w:val="FootnoteText"/>
    <w:uiPriority w:val="99"/>
    <w:semiHidden/>
    <w:rsid w:val="005A54E4"/>
    <w:rPr>
      <w:rFonts w:eastAsiaTheme="minorEastAsia"/>
      <w:sz w:val="20"/>
      <w:szCs w:val="20"/>
    </w:rPr>
  </w:style>
  <w:style w:type="character" w:styleId="FootnoteReference">
    <w:name w:val="footnote reference"/>
    <w:basedOn w:val="DefaultParagraphFont"/>
    <w:uiPriority w:val="99"/>
    <w:semiHidden/>
    <w:unhideWhenUsed/>
    <w:rsid w:val="005A54E4"/>
    <w:rPr>
      <w:vertAlign w:val="superscript"/>
    </w:rPr>
  </w:style>
  <w:style w:type="character" w:styleId="Hyperlink">
    <w:name w:val="Hyperlink"/>
    <w:basedOn w:val="DefaultParagraphFont"/>
    <w:uiPriority w:val="99"/>
    <w:unhideWhenUsed/>
    <w:rsid w:val="005A54E4"/>
    <w:rPr>
      <w:color w:val="467886" w:themeColor="hyperlink"/>
      <w:u w:val="single"/>
    </w:rPr>
  </w:style>
  <w:style w:type="character" w:styleId="UnresolvedMention">
    <w:name w:val="Unresolved Mention"/>
    <w:basedOn w:val="DefaultParagraphFont"/>
    <w:uiPriority w:val="99"/>
    <w:rsid w:val="005A54E4"/>
    <w:rPr>
      <w:color w:val="605E5C"/>
      <w:shd w:val="clear" w:color="auto" w:fill="E1DFDD"/>
    </w:rPr>
  </w:style>
  <w:style w:type="character" w:styleId="CommentReference">
    <w:name w:val="annotation reference"/>
    <w:basedOn w:val="DefaultParagraphFont"/>
    <w:uiPriority w:val="99"/>
    <w:semiHidden/>
    <w:unhideWhenUsed/>
    <w:rsid w:val="00E91B98"/>
    <w:rPr>
      <w:sz w:val="16"/>
      <w:szCs w:val="16"/>
    </w:rPr>
  </w:style>
  <w:style w:type="paragraph" w:styleId="CommentText">
    <w:name w:val="annotation text"/>
    <w:basedOn w:val="Normal"/>
    <w:link w:val="CommentTextChar"/>
    <w:uiPriority w:val="99"/>
    <w:unhideWhenUsed/>
    <w:rsid w:val="00E91B98"/>
    <w:rPr>
      <w:sz w:val="20"/>
      <w:szCs w:val="20"/>
    </w:rPr>
  </w:style>
  <w:style w:type="character" w:customStyle="1" w:styleId="CommentTextChar">
    <w:name w:val="Comment Text Char"/>
    <w:basedOn w:val="DefaultParagraphFont"/>
    <w:link w:val="CommentText"/>
    <w:uiPriority w:val="99"/>
    <w:rsid w:val="00E91B9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91B98"/>
    <w:rPr>
      <w:b/>
      <w:bCs/>
    </w:rPr>
  </w:style>
  <w:style w:type="character" w:customStyle="1" w:styleId="CommentSubjectChar">
    <w:name w:val="Comment Subject Char"/>
    <w:basedOn w:val="CommentTextChar"/>
    <w:link w:val="CommentSubject"/>
    <w:uiPriority w:val="99"/>
    <w:semiHidden/>
    <w:rsid w:val="00E91B98"/>
    <w:rPr>
      <w:rFonts w:eastAsiaTheme="minorEastAsia"/>
      <w:b/>
      <w:bCs/>
      <w:sz w:val="20"/>
      <w:szCs w:val="20"/>
    </w:rPr>
  </w:style>
  <w:style w:type="paragraph" w:styleId="Revision">
    <w:name w:val="Revision"/>
    <w:hidden/>
    <w:uiPriority w:val="99"/>
    <w:semiHidden/>
    <w:rsid w:val="00546FEC"/>
    <w:rPr>
      <w:rFonts w:eastAsiaTheme="minorEastAsia"/>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qidan.org.au/submissions/qidan-response-to-accessible-courts-and-tribunals-consu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qidan.org.au/submissions/535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disability.royalcommission.gov.au/system/files/2023-09/Final%20Report%20-%20Volume%208%2C%20Criminal%20justice%20and%20people%20with%20disability.pdf" TargetMode="External"/><Relationship Id="rId2" Type="http://schemas.openxmlformats.org/officeDocument/2006/relationships/hyperlink" Target="https://qidan.org.au/wp-content/uploads/2026/05/QIDAN-response-to-Accessible-Courts-and-Tribunals-consult.pdf" TargetMode="External"/><Relationship Id="rId1" Type="http://schemas.openxmlformats.org/officeDocument/2006/relationships/hyperlink" Target="https://qidan.org.au/wp-content/uploads/2025/09/QIDAN-response-to-the-DFVP-and-other-legislation-amendment-bill-2025.pdf" TargetMode="External"/><Relationship Id="rId4" Type="http://schemas.openxmlformats.org/officeDocument/2006/relationships/hyperlink" Target="https://documents.parliament.qld.gov.au/bills/2026/5309/Domestic-and-Family-Violence-Protection-and-Other-Legislation-Amendment-Bill-2026---Explanatory-Notes-d17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tlinDeCocqVanDelw\AppData\Local\Microsoft\Windows\INetCache\Content.Outlook\UATP3LJU\QIDAN%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_dlc_DocId xmlns="422eb771-ca73-43f7-ae9a-92fcdf6b2d87">1234-1248423447-205650</_dlc_DocId>
    <_dlc_DocIdUrl xmlns="422eb771-ca73-43f7-ae9a-92fcdf6b2d87">
      <Url>https://queenslandadvocacy.sharepoint.com/sites/QueenslandAdvocacy/_layouts/15/DocIdRedir.aspx?ID=1234-1248423447-205650</Url>
      <Description>1234-1248423447-205650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4d4588f06dcdedeed0441f851931f4d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e6ac9d1f69f0a16497584f526a7a113"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FB304-8B2B-4243-AAE5-371CA11787BE}">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2.xml><?xml version="1.0" encoding="utf-8"?>
<ds:datastoreItem xmlns:ds="http://schemas.openxmlformats.org/officeDocument/2006/customXml" ds:itemID="{3302DF14-E923-41EB-AB38-34FE23E8C4F9}">
  <ds:schemaRefs>
    <ds:schemaRef ds:uri="http://schemas.microsoft.com/sharepoint/events"/>
  </ds:schemaRefs>
</ds:datastoreItem>
</file>

<file path=customXml/itemProps3.xml><?xml version="1.0" encoding="utf-8"?>
<ds:datastoreItem xmlns:ds="http://schemas.openxmlformats.org/officeDocument/2006/customXml" ds:itemID="{2EB8E935-B356-4588-9C89-D3D029BC3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6BA97-37C0-43A7-A1BF-EF6C8351C721}">
  <ds:schemaRefs>
    <ds:schemaRef ds:uri="http://schemas.microsoft.com/sharepoint/v3/contenttype/forms"/>
  </ds:schemaRefs>
</ds:datastoreItem>
</file>

<file path=customXml/itemProps5.xml><?xml version="1.0" encoding="utf-8"?>
<ds:datastoreItem xmlns:ds="http://schemas.openxmlformats.org/officeDocument/2006/customXml" ds:itemID="{A79E5CCD-19C6-4A3D-8AF4-054D20F08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QIDAN Letterhead.dotx</Template>
  <TotalTime>719</TotalTime>
  <Pages>1</Pages>
  <Words>1262</Words>
  <Characters>7195</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Links>
    <vt:vector size="36" baseType="variant">
      <vt:variant>
        <vt:i4>6881389</vt:i4>
      </vt:variant>
      <vt:variant>
        <vt:i4>3</vt:i4>
      </vt:variant>
      <vt:variant>
        <vt:i4>0</vt:i4>
      </vt:variant>
      <vt:variant>
        <vt:i4>5</vt:i4>
      </vt:variant>
      <vt:variant>
        <vt:lpwstr>https://qidan.org.au/submissions/qidan-response-to-accessible-courts-and-tribunals-consult/</vt:lpwstr>
      </vt:variant>
      <vt:variant>
        <vt:lpwstr/>
      </vt:variant>
      <vt:variant>
        <vt:i4>2490428</vt:i4>
      </vt:variant>
      <vt:variant>
        <vt:i4>0</vt:i4>
      </vt:variant>
      <vt:variant>
        <vt:i4>0</vt:i4>
      </vt:variant>
      <vt:variant>
        <vt:i4>5</vt:i4>
      </vt:variant>
      <vt:variant>
        <vt:lpwstr>https://qidan.org.au/submissions/5351/</vt:lpwstr>
      </vt:variant>
      <vt:variant>
        <vt:lpwstr/>
      </vt:variant>
      <vt:variant>
        <vt:i4>7536743</vt:i4>
      </vt:variant>
      <vt:variant>
        <vt:i4>9</vt:i4>
      </vt:variant>
      <vt:variant>
        <vt:i4>0</vt:i4>
      </vt:variant>
      <vt:variant>
        <vt:i4>5</vt:i4>
      </vt:variant>
      <vt:variant>
        <vt:lpwstr>https://documents.parliament.qld.gov.au/bills/2026/5309/Domestic-and-Family-Violence-Protection-and-Other-Legislation-Amendment-Bill-2026---Explanatory-Notes-d176.pdf</vt:lpwstr>
      </vt:variant>
      <vt:variant>
        <vt:lpwstr/>
      </vt:variant>
      <vt:variant>
        <vt:i4>1703951</vt:i4>
      </vt:variant>
      <vt:variant>
        <vt:i4>6</vt:i4>
      </vt:variant>
      <vt:variant>
        <vt:i4>0</vt:i4>
      </vt:variant>
      <vt:variant>
        <vt:i4>5</vt:i4>
      </vt:variant>
      <vt:variant>
        <vt:lpwstr>https://disability.royalcommission.gov.au/system/files/2023-09/Final Report - Volume 8%2C Criminal justice and people with disability.pdf</vt:lpwstr>
      </vt:variant>
      <vt:variant>
        <vt:lpwstr/>
      </vt:variant>
      <vt:variant>
        <vt:i4>4849680</vt:i4>
      </vt:variant>
      <vt:variant>
        <vt:i4>3</vt:i4>
      </vt:variant>
      <vt:variant>
        <vt:i4>0</vt:i4>
      </vt:variant>
      <vt:variant>
        <vt:i4>5</vt:i4>
      </vt:variant>
      <vt:variant>
        <vt:lpwstr>https://qidan.org.au/wp-content/uploads/2026/05/QIDAN-response-to-Accessible-Courts-and-Tribunals-consult.pdf</vt:lpwstr>
      </vt:variant>
      <vt:variant>
        <vt:lpwstr/>
      </vt:variant>
      <vt:variant>
        <vt:i4>5111885</vt:i4>
      </vt:variant>
      <vt:variant>
        <vt:i4>0</vt:i4>
      </vt:variant>
      <vt:variant>
        <vt:i4>0</vt:i4>
      </vt:variant>
      <vt:variant>
        <vt:i4>5</vt:i4>
      </vt:variant>
      <vt:variant>
        <vt:lpwstr>https://qidan.org.au/wp-content/uploads/2025/09/QIDAN-response-to-the-DFVP-and-other-legislation-amendment-bill-2025.pdf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 Cocq Van Delwijnen</dc:creator>
  <cp:keywords/>
  <dc:description/>
  <cp:lastModifiedBy>Neve Fraser</cp:lastModifiedBy>
  <cp:revision>332</cp:revision>
  <dcterms:created xsi:type="dcterms:W3CDTF">2026-09-30T18:56:00Z</dcterms:created>
  <dcterms:modified xsi:type="dcterms:W3CDTF">2026-10-02T03:09:00Z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y fmtid="{D5CDD505-2E9C-101B-9397-08002B2CF9AE}" pid="4" name="_dlc_DocIdItemGuid">
    <vt:lpwstr>90f6e842-7d0d-436f-9c4f-80dc6208b2c3</vt:lpwstr>
  </property>
</Properties>
</file>