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F8E38" w14:textId="77777777" w:rsidR="00C8226E" w:rsidRPr="004601F1" w:rsidRDefault="00C8226E" w:rsidP="00E55601">
      <w:pPr>
        <w:jc w:val="right"/>
        <w:rPr>
          <w:rFonts w:ascii="Nunito Sans" w:hAnsi="Nunito Sans"/>
          <w:sz w:val="20"/>
          <w:szCs w:val="20"/>
          <w:lang w:val="en-AU"/>
        </w:rPr>
      </w:pPr>
    </w:p>
    <w:p w14:paraId="494FB4B6" w14:textId="77777777" w:rsidR="003A4839" w:rsidRPr="004601F1" w:rsidRDefault="003A4839" w:rsidP="00E55601">
      <w:pPr>
        <w:jc w:val="right"/>
        <w:rPr>
          <w:rFonts w:ascii="Nunito Sans" w:hAnsi="Nunito Sans"/>
          <w:sz w:val="20"/>
          <w:szCs w:val="20"/>
          <w:lang w:val="en-AU"/>
        </w:rPr>
      </w:pPr>
    </w:p>
    <w:p w14:paraId="11D49711" w14:textId="77777777" w:rsidR="003A4839" w:rsidRPr="004601F1" w:rsidRDefault="003A4839" w:rsidP="00E55601">
      <w:pPr>
        <w:jc w:val="right"/>
        <w:rPr>
          <w:rFonts w:ascii="Nunito Sans" w:hAnsi="Nunito Sans"/>
          <w:sz w:val="20"/>
          <w:szCs w:val="20"/>
          <w:lang w:val="en-AU"/>
        </w:rPr>
      </w:pPr>
    </w:p>
    <w:p w14:paraId="23B41EB3" w14:textId="77777777" w:rsidR="004601F1" w:rsidRDefault="004601F1" w:rsidP="00E55601">
      <w:pPr>
        <w:jc w:val="right"/>
        <w:rPr>
          <w:rFonts w:ascii="Nunito Sans" w:hAnsi="Nunito Sans"/>
          <w:sz w:val="20"/>
          <w:szCs w:val="20"/>
          <w:lang w:val="en-AU"/>
        </w:rPr>
      </w:pPr>
    </w:p>
    <w:p w14:paraId="68B2F47B" w14:textId="09689875" w:rsidR="00E55601" w:rsidRDefault="00E55601" w:rsidP="00680C52">
      <w:pPr>
        <w:tabs>
          <w:tab w:val="left" w:pos="1845"/>
        </w:tabs>
        <w:rPr>
          <w:rFonts w:ascii="Nunito Sans" w:hAnsi="Nunito Sans"/>
          <w:sz w:val="20"/>
          <w:szCs w:val="20"/>
          <w:lang w:val="en-AU"/>
        </w:rPr>
      </w:pPr>
    </w:p>
    <w:p w14:paraId="345A033A" w14:textId="77777777" w:rsidR="00E55601" w:rsidRDefault="00E55601" w:rsidP="00E55601">
      <w:pPr>
        <w:jc w:val="right"/>
        <w:rPr>
          <w:rFonts w:ascii="Nunito Sans" w:hAnsi="Nunito Sans"/>
          <w:sz w:val="20"/>
          <w:szCs w:val="20"/>
          <w:lang w:val="en-AU"/>
        </w:rPr>
      </w:pPr>
    </w:p>
    <w:p w14:paraId="7C3A9B2A" w14:textId="77777777" w:rsidR="00E55601" w:rsidRDefault="00E55601" w:rsidP="00E55601">
      <w:pPr>
        <w:jc w:val="right"/>
        <w:rPr>
          <w:rFonts w:ascii="Nunito Sans" w:hAnsi="Nunito Sans"/>
          <w:sz w:val="20"/>
          <w:szCs w:val="20"/>
          <w:lang w:val="en-AU"/>
        </w:rPr>
      </w:pPr>
    </w:p>
    <w:p w14:paraId="6F5F84F4" w14:textId="77777777" w:rsidR="00E55601" w:rsidRDefault="00E55601" w:rsidP="00E55601">
      <w:pPr>
        <w:jc w:val="right"/>
        <w:rPr>
          <w:rFonts w:ascii="Nunito Sans" w:hAnsi="Nunito Sans"/>
          <w:sz w:val="20"/>
          <w:szCs w:val="20"/>
          <w:lang w:val="en-AU"/>
        </w:rPr>
      </w:pPr>
    </w:p>
    <w:p w14:paraId="3E7C77A8" w14:textId="77777777" w:rsidR="00E55601" w:rsidRDefault="00E55601" w:rsidP="00E55601">
      <w:pPr>
        <w:jc w:val="right"/>
        <w:rPr>
          <w:rFonts w:ascii="Nunito Sans" w:hAnsi="Nunito Sans"/>
          <w:sz w:val="20"/>
          <w:szCs w:val="20"/>
          <w:lang w:val="en-AU"/>
        </w:rPr>
      </w:pPr>
    </w:p>
    <w:p w14:paraId="48073AFA" w14:textId="77777777" w:rsidR="00E55601" w:rsidRDefault="00E55601" w:rsidP="00E55601">
      <w:pPr>
        <w:jc w:val="right"/>
        <w:rPr>
          <w:rFonts w:ascii="Nunito Sans" w:hAnsi="Nunito Sans"/>
          <w:sz w:val="20"/>
          <w:szCs w:val="20"/>
          <w:lang w:val="en-AU"/>
        </w:rPr>
      </w:pPr>
    </w:p>
    <w:p w14:paraId="586E6595" w14:textId="77777777" w:rsidR="00E55601" w:rsidRDefault="00E55601" w:rsidP="00E55601">
      <w:pPr>
        <w:jc w:val="right"/>
        <w:rPr>
          <w:rFonts w:ascii="Nunito Sans" w:hAnsi="Nunito Sans"/>
          <w:sz w:val="20"/>
          <w:szCs w:val="20"/>
          <w:lang w:val="en-AU"/>
        </w:rPr>
      </w:pPr>
    </w:p>
    <w:p w14:paraId="1E3BDA06" w14:textId="77777777" w:rsidR="00E55601" w:rsidRDefault="00E55601" w:rsidP="00E55601">
      <w:pPr>
        <w:jc w:val="right"/>
        <w:rPr>
          <w:rFonts w:ascii="Nunito Sans" w:hAnsi="Nunito Sans"/>
          <w:sz w:val="20"/>
          <w:szCs w:val="20"/>
          <w:lang w:val="en-AU"/>
        </w:rPr>
      </w:pPr>
    </w:p>
    <w:p w14:paraId="7927EA4C" w14:textId="77777777" w:rsidR="00E55601" w:rsidRDefault="00E55601" w:rsidP="00E55601">
      <w:pPr>
        <w:jc w:val="right"/>
        <w:rPr>
          <w:rFonts w:ascii="Nunito Sans" w:hAnsi="Nunito Sans"/>
          <w:sz w:val="20"/>
          <w:szCs w:val="20"/>
          <w:lang w:val="en-AU"/>
        </w:rPr>
      </w:pPr>
    </w:p>
    <w:p w14:paraId="0B5468D0" w14:textId="77777777" w:rsidR="00E55601" w:rsidRDefault="00E55601" w:rsidP="00E55601">
      <w:pPr>
        <w:jc w:val="right"/>
        <w:rPr>
          <w:rFonts w:ascii="Nunito Sans" w:hAnsi="Nunito Sans"/>
          <w:sz w:val="20"/>
          <w:szCs w:val="20"/>
          <w:lang w:val="en-AU"/>
        </w:rPr>
      </w:pPr>
    </w:p>
    <w:p w14:paraId="4045A923" w14:textId="77777777" w:rsidR="00E55601" w:rsidRDefault="00E55601" w:rsidP="00E55601">
      <w:pPr>
        <w:jc w:val="right"/>
        <w:rPr>
          <w:rFonts w:ascii="Nunito Sans" w:hAnsi="Nunito Sans"/>
          <w:sz w:val="20"/>
          <w:szCs w:val="20"/>
          <w:lang w:val="en-AU"/>
        </w:rPr>
      </w:pPr>
    </w:p>
    <w:p w14:paraId="4B7678AF" w14:textId="77777777" w:rsidR="00E55601" w:rsidRDefault="00E55601" w:rsidP="00E55601">
      <w:pPr>
        <w:jc w:val="right"/>
        <w:rPr>
          <w:rFonts w:ascii="Nunito Sans" w:hAnsi="Nunito Sans"/>
          <w:sz w:val="20"/>
          <w:szCs w:val="20"/>
          <w:lang w:val="en-AU"/>
        </w:rPr>
      </w:pPr>
    </w:p>
    <w:p w14:paraId="1B00AAAB" w14:textId="77777777" w:rsidR="00E55601" w:rsidRDefault="00E55601" w:rsidP="00E55601">
      <w:pPr>
        <w:jc w:val="right"/>
        <w:rPr>
          <w:rFonts w:ascii="Nunito Sans" w:hAnsi="Nunito Sans"/>
          <w:sz w:val="20"/>
          <w:szCs w:val="20"/>
          <w:lang w:val="en-AU"/>
        </w:rPr>
      </w:pPr>
    </w:p>
    <w:p w14:paraId="4004B3F7" w14:textId="6AB92DE8" w:rsidR="005D12D0" w:rsidRPr="00C92350" w:rsidRDefault="003F525F" w:rsidP="005D12D0">
      <w:pPr>
        <w:spacing w:line="240" w:lineRule="auto"/>
        <w:rPr>
          <w:rFonts w:ascii="Poppins SemiBold" w:hAnsi="Poppins SemiBold" w:cs="Poppins SemiBold"/>
          <w:b/>
          <w:bCs/>
          <w:color w:val="FFFFFF" w:themeColor="background1"/>
          <w:sz w:val="56"/>
          <w:szCs w:val="56"/>
          <w:lang w:val="en-AU"/>
        </w:rPr>
      </w:pPr>
      <w:r>
        <w:rPr>
          <w:rFonts w:ascii="Poppins SemiBold" w:hAnsi="Poppins SemiBold" w:cs="Poppins SemiBold"/>
          <w:b/>
          <w:bCs/>
          <w:color w:val="FFFFFF" w:themeColor="background1"/>
          <w:sz w:val="56"/>
          <w:szCs w:val="56"/>
          <w:lang w:val="en-AU"/>
        </w:rPr>
        <w:t xml:space="preserve">Submission to the </w:t>
      </w:r>
      <w:r w:rsidR="002C68B3">
        <w:rPr>
          <w:rFonts w:ascii="Poppins SemiBold" w:hAnsi="Poppins SemiBold" w:cs="Poppins SemiBold"/>
          <w:b/>
          <w:bCs/>
          <w:color w:val="FFFFFF" w:themeColor="background1"/>
          <w:sz w:val="56"/>
          <w:szCs w:val="56"/>
          <w:lang w:val="en-AU"/>
        </w:rPr>
        <w:t xml:space="preserve">Review of Queensland’s Human Rights and Anti-Discrimination Framework </w:t>
      </w:r>
    </w:p>
    <w:p w14:paraId="2D6C7520" w14:textId="66484299" w:rsidR="005D12D0" w:rsidRPr="00F04EAF" w:rsidRDefault="005D12D0" w:rsidP="00F04EAF">
      <w:pPr>
        <w:spacing w:line="240" w:lineRule="auto"/>
        <w:rPr>
          <w:rFonts w:ascii="Nunito Sans" w:hAnsi="Nunito Sans"/>
          <w:color w:val="FFFFFF" w:themeColor="background1"/>
          <w:sz w:val="36"/>
          <w:szCs w:val="36"/>
          <w:lang w:val="en-US"/>
        </w:rPr>
      </w:pPr>
    </w:p>
    <w:p w14:paraId="6FA37F64" w14:textId="7D3EBD7C" w:rsidR="002C77FC" w:rsidRDefault="002C68B3" w:rsidP="00E16CF7">
      <w:pPr>
        <w:rPr>
          <w:rFonts w:ascii="Nunito Sans" w:hAnsi="Nunito Sans"/>
          <w:color w:val="FFFFFF" w:themeColor="background1"/>
          <w:sz w:val="28"/>
          <w:szCs w:val="28"/>
          <w:lang w:val="en-US"/>
        </w:rPr>
      </w:pPr>
      <w:r>
        <w:rPr>
          <w:rFonts w:ascii="Nunito Sans" w:hAnsi="Nunito Sans"/>
          <w:color w:val="FFFFFF" w:themeColor="background1"/>
          <w:sz w:val="28"/>
          <w:szCs w:val="28"/>
          <w:lang w:val="en-US"/>
        </w:rPr>
        <w:t>30 Octo</w:t>
      </w:r>
      <w:r w:rsidR="005D12D0" w:rsidRPr="005D12D0">
        <w:rPr>
          <w:rFonts w:ascii="Nunito Sans" w:hAnsi="Nunito Sans"/>
          <w:color w:val="FFFFFF" w:themeColor="background1"/>
          <w:sz w:val="28"/>
          <w:szCs w:val="28"/>
          <w:lang w:val="en-US"/>
        </w:rPr>
        <w:t>ber 2026</w:t>
      </w:r>
    </w:p>
    <w:p w14:paraId="27994AEF" w14:textId="77777777" w:rsidR="00A77655" w:rsidRPr="00E16CF7" w:rsidRDefault="00A77655" w:rsidP="00E16CF7">
      <w:pPr>
        <w:rPr>
          <w:rFonts w:ascii="Nunito Sans" w:hAnsi="Nunito Sans"/>
          <w:color w:val="FFFFFF" w:themeColor="background1"/>
          <w:sz w:val="28"/>
          <w:szCs w:val="28"/>
          <w:lang w:val="en-US"/>
        </w:rPr>
      </w:pPr>
    </w:p>
    <w:bookmarkStart w:id="0" w:name="_Toc240011179" w:displacedByCustomXml="next"/>
    <w:sdt>
      <w:sdtPr>
        <w:rPr>
          <w:rFonts w:ascii="Nunito" w:eastAsiaTheme="minorEastAsia" w:hAnsi="Nunito" w:cstheme="minorBidi"/>
          <w:b w:val="0"/>
          <w:color w:val="auto"/>
          <w:kern w:val="2"/>
          <w:sz w:val="24"/>
          <w:szCs w:val="24"/>
          <w:lang w:val="en-GB"/>
          <w14:ligatures w14:val="standardContextual"/>
        </w:rPr>
        <w:id w:val="-293599898"/>
        <w:docPartObj>
          <w:docPartGallery w:val="Table of Contents"/>
          <w:docPartUnique/>
        </w:docPartObj>
      </w:sdtPr>
      <w:sdtEndPr>
        <w:rPr>
          <w:bCs/>
          <w:noProof/>
        </w:rPr>
      </w:sdtEndPr>
      <w:sdtContent>
        <w:p w14:paraId="7F4CE03F" w14:textId="6669787F" w:rsidR="00AC7371" w:rsidRDefault="00AC7371" w:rsidP="00B85C82">
          <w:pPr>
            <w:pStyle w:val="TOCHeading"/>
            <w:spacing w:after="240"/>
          </w:pPr>
          <w:r>
            <w:t>Contents</w:t>
          </w:r>
        </w:p>
        <w:p w14:paraId="3EE87126" w14:textId="40F72657" w:rsidR="00B85C82" w:rsidRDefault="00CD4D99">
          <w:pPr>
            <w:pStyle w:val="TOC1"/>
            <w:rPr>
              <w:rFonts w:asciiTheme="minorHAnsi" w:hAnsiTheme="minorHAnsi"/>
              <w:bCs w:val="0"/>
              <w:lang w:eastAsia="en-AU"/>
            </w:rPr>
          </w:pPr>
          <w:r>
            <w:fldChar w:fldCharType="begin"/>
          </w:r>
          <w:r>
            <w:instrText xml:space="preserve"> TOC \o "1-3" \h \z \u </w:instrText>
          </w:r>
          <w:r>
            <w:fldChar w:fldCharType="separate"/>
          </w:r>
          <w:hyperlink w:anchor="_Toc244185245" w:history="1">
            <w:r w:rsidR="00B85C82" w:rsidRPr="005547D3">
              <w:rPr>
                <w:rStyle w:val="Hyperlink"/>
              </w:rPr>
              <w:t>QIDAN recommendations</w:t>
            </w:r>
            <w:r w:rsidR="00B85C82">
              <w:rPr>
                <w:webHidden/>
              </w:rPr>
              <w:tab/>
            </w:r>
            <w:r w:rsidR="00B85C82">
              <w:rPr>
                <w:webHidden/>
              </w:rPr>
              <w:fldChar w:fldCharType="begin"/>
            </w:r>
            <w:r w:rsidR="00B85C82">
              <w:rPr>
                <w:webHidden/>
              </w:rPr>
              <w:instrText xml:space="preserve"> PAGEREF _Toc244185245 \h </w:instrText>
            </w:r>
            <w:r w:rsidR="00B85C82">
              <w:rPr>
                <w:webHidden/>
              </w:rPr>
            </w:r>
            <w:r w:rsidR="00B85C82">
              <w:rPr>
                <w:webHidden/>
              </w:rPr>
              <w:fldChar w:fldCharType="separate"/>
            </w:r>
            <w:r w:rsidR="00B85C82">
              <w:rPr>
                <w:webHidden/>
              </w:rPr>
              <w:t>3</w:t>
            </w:r>
            <w:r w:rsidR="00B85C82">
              <w:rPr>
                <w:webHidden/>
              </w:rPr>
              <w:fldChar w:fldCharType="end"/>
            </w:r>
          </w:hyperlink>
        </w:p>
        <w:p w14:paraId="76498B14" w14:textId="1D6F1E4E" w:rsidR="00B85C82" w:rsidRDefault="00B85C82">
          <w:pPr>
            <w:pStyle w:val="TOC1"/>
            <w:rPr>
              <w:rFonts w:asciiTheme="minorHAnsi" w:hAnsiTheme="minorHAnsi"/>
              <w:bCs w:val="0"/>
              <w:lang w:eastAsia="en-AU"/>
            </w:rPr>
          </w:pPr>
          <w:hyperlink w:anchor="_Toc244185246" w:history="1">
            <w:r w:rsidRPr="005547D3">
              <w:rPr>
                <w:rStyle w:val="Hyperlink"/>
              </w:rPr>
              <w:t>About QIDAN</w:t>
            </w:r>
            <w:r>
              <w:rPr>
                <w:webHidden/>
              </w:rPr>
              <w:tab/>
            </w:r>
            <w:r>
              <w:rPr>
                <w:webHidden/>
              </w:rPr>
              <w:fldChar w:fldCharType="begin"/>
            </w:r>
            <w:r>
              <w:rPr>
                <w:webHidden/>
              </w:rPr>
              <w:instrText xml:space="preserve"> PAGEREF _Toc244185246 \h </w:instrText>
            </w:r>
            <w:r>
              <w:rPr>
                <w:webHidden/>
              </w:rPr>
            </w:r>
            <w:r>
              <w:rPr>
                <w:webHidden/>
              </w:rPr>
              <w:fldChar w:fldCharType="separate"/>
            </w:r>
            <w:r>
              <w:rPr>
                <w:webHidden/>
              </w:rPr>
              <w:t>4</w:t>
            </w:r>
            <w:r>
              <w:rPr>
                <w:webHidden/>
              </w:rPr>
              <w:fldChar w:fldCharType="end"/>
            </w:r>
          </w:hyperlink>
        </w:p>
        <w:p w14:paraId="7E697B05" w14:textId="1BD902D0" w:rsidR="00B85C82" w:rsidRDefault="00B85C82">
          <w:pPr>
            <w:pStyle w:val="TOC1"/>
            <w:rPr>
              <w:rFonts w:asciiTheme="minorHAnsi" w:hAnsiTheme="minorHAnsi"/>
              <w:bCs w:val="0"/>
              <w:lang w:eastAsia="en-AU"/>
            </w:rPr>
          </w:pPr>
          <w:hyperlink w:anchor="_Toc244185247" w:history="1">
            <w:r w:rsidRPr="005547D3">
              <w:rPr>
                <w:rStyle w:val="Hyperlink"/>
              </w:rPr>
              <w:t>Introduction</w:t>
            </w:r>
            <w:r>
              <w:rPr>
                <w:webHidden/>
              </w:rPr>
              <w:tab/>
            </w:r>
            <w:r>
              <w:rPr>
                <w:webHidden/>
              </w:rPr>
              <w:fldChar w:fldCharType="begin"/>
            </w:r>
            <w:r>
              <w:rPr>
                <w:webHidden/>
              </w:rPr>
              <w:instrText xml:space="preserve"> PAGEREF _Toc244185247 \h </w:instrText>
            </w:r>
            <w:r>
              <w:rPr>
                <w:webHidden/>
              </w:rPr>
            </w:r>
            <w:r>
              <w:rPr>
                <w:webHidden/>
              </w:rPr>
              <w:fldChar w:fldCharType="separate"/>
            </w:r>
            <w:r>
              <w:rPr>
                <w:webHidden/>
              </w:rPr>
              <w:t>6</w:t>
            </w:r>
            <w:r>
              <w:rPr>
                <w:webHidden/>
              </w:rPr>
              <w:fldChar w:fldCharType="end"/>
            </w:r>
          </w:hyperlink>
        </w:p>
        <w:p w14:paraId="2FA1594A" w14:textId="0E4B4DF0" w:rsidR="00B85C82" w:rsidRDefault="00B85C82">
          <w:pPr>
            <w:pStyle w:val="TOC1"/>
            <w:rPr>
              <w:rFonts w:asciiTheme="minorHAnsi" w:hAnsiTheme="minorHAnsi"/>
              <w:bCs w:val="0"/>
              <w:lang w:eastAsia="en-AU"/>
            </w:rPr>
          </w:pPr>
          <w:hyperlink w:anchor="_Toc244185248" w:history="1">
            <w:r w:rsidRPr="005547D3">
              <w:rPr>
                <w:rStyle w:val="Hyperlink"/>
              </w:rPr>
              <w:t>The language of the ADA must be clear and inclusive</w:t>
            </w:r>
            <w:r>
              <w:rPr>
                <w:webHidden/>
              </w:rPr>
              <w:tab/>
            </w:r>
            <w:r>
              <w:rPr>
                <w:webHidden/>
              </w:rPr>
              <w:fldChar w:fldCharType="begin"/>
            </w:r>
            <w:r>
              <w:rPr>
                <w:webHidden/>
              </w:rPr>
              <w:instrText xml:space="preserve"> PAGEREF _Toc244185248 \h </w:instrText>
            </w:r>
            <w:r>
              <w:rPr>
                <w:webHidden/>
              </w:rPr>
            </w:r>
            <w:r>
              <w:rPr>
                <w:webHidden/>
              </w:rPr>
              <w:fldChar w:fldCharType="separate"/>
            </w:r>
            <w:r>
              <w:rPr>
                <w:webHidden/>
              </w:rPr>
              <w:t>7</w:t>
            </w:r>
            <w:r>
              <w:rPr>
                <w:webHidden/>
              </w:rPr>
              <w:fldChar w:fldCharType="end"/>
            </w:r>
          </w:hyperlink>
        </w:p>
        <w:p w14:paraId="5BEB4A11" w14:textId="7AEB6CB3" w:rsidR="00B85C82" w:rsidRDefault="00B85C82">
          <w:pPr>
            <w:pStyle w:val="TOC1"/>
            <w:rPr>
              <w:rFonts w:asciiTheme="minorHAnsi" w:hAnsiTheme="minorHAnsi"/>
              <w:bCs w:val="0"/>
              <w:lang w:eastAsia="en-AU"/>
            </w:rPr>
          </w:pPr>
          <w:hyperlink w:anchor="_Toc244185249" w:history="1">
            <w:r w:rsidRPr="005547D3">
              <w:rPr>
                <w:rStyle w:val="Hyperlink"/>
              </w:rPr>
              <w:t>The complaints process must be accessible for everyone</w:t>
            </w:r>
            <w:r>
              <w:rPr>
                <w:webHidden/>
              </w:rPr>
              <w:tab/>
            </w:r>
            <w:r>
              <w:rPr>
                <w:webHidden/>
              </w:rPr>
              <w:fldChar w:fldCharType="begin"/>
            </w:r>
            <w:r>
              <w:rPr>
                <w:webHidden/>
              </w:rPr>
              <w:instrText xml:space="preserve"> PAGEREF _Toc244185249 \h </w:instrText>
            </w:r>
            <w:r>
              <w:rPr>
                <w:webHidden/>
              </w:rPr>
            </w:r>
            <w:r>
              <w:rPr>
                <w:webHidden/>
              </w:rPr>
              <w:fldChar w:fldCharType="separate"/>
            </w:r>
            <w:r>
              <w:rPr>
                <w:webHidden/>
              </w:rPr>
              <w:t>8</w:t>
            </w:r>
            <w:r>
              <w:rPr>
                <w:webHidden/>
              </w:rPr>
              <w:fldChar w:fldCharType="end"/>
            </w:r>
          </w:hyperlink>
        </w:p>
        <w:p w14:paraId="6C855460" w14:textId="47229FCD" w:rsidR="00B85C82" w:rsidRDefault="00B85C82">
          <w:pPr>
            <w:pStyle w:val="TOC1"/>
            <w:rPr>
              <w:rFonts w:asciiTheme="minorHAnsi" w:hAnsiTheme="minorHAnsi"/>
              <w:bCs w:val="0"/>
              <w:lang w:eastAsia="en-AU"/>
            </w:rPr>
          </w:pPr>
          <w:hyperlink w:anchor="_Toc244185250" w:history="1">
            <w:r w:rsidRPr="005547D3">
              <w:rPr>
                <w:rStyle w:val="Hyperlink"/>
              </w:rPr>
              <w:t>It must be clear to everyone who the Human Rights Act applies to</w:t>
            </w:r>
            <w:r>
              <w:rPr>
                <w:webHidden/>
              </w:rPr>
              <w:tab/>
            </w:r>
            <w:r>
              <w:rPr>
                <w:webHidden/>
              </w:rPr>
              <w:fldChar w:fldCharType="begin"/>
            </w:r>
            <w:r>
              <w:rPr>
                <w:webHidden/>
              </w:rPr>
              <w:instrText xml:space="preserve"> PAGEREF _Toc244185250 \h </w:instrText>
            </w:r>
            <w:r>
              <w:rPr>
                <w:webHidden/>
              </w:rPr>
            </w:r>
            <w:r>
              <w:rPr>
                <w:webHidden/>
              </w:rPr>
              <w:fldChar w:fldCharType="separate"/>
            </w:r>
            <w:r>
              <w:rPr>
                <w:webHidden/>
              </w:rPr>
              <w:t>12</w:t>
            </w:r>
            <w:r>
              <w:rPr>
                <w:webHidden/>
              </w:rPr>
              <w:fldChar w:fldCharType="end"/>
            </w:r>
          </w:hyperlink>
        </w:p>
        <w:p w14:paraId="5202DDC9" w14:textId="7D3043F6" w:rsidR="00B85C82" w:rsidRDefault="00B85C82">
          <w:pPr>
            <w:pStyle w:val="TOC1"/>
            <w:rPr>
              <w:rFonts w:asciiTheme="minorHAnsi" w:hAnsiTheme="minorHAnsi"/>
              <w:bCs w:val="0"/>
              <w:lang w:eastAsia="en-AU"/>
            </w:rPr>
          </w:pPr>
          <w:hyperlink w:anchor="_Toc244185251" w:history="1">
            <w:r w:rsidRPr="005547D3">
              <w:rPr>
                <w:rStyle w:val="Hyperlink"/>
              </w:rPr>
              <w:t>The ADA must protect multiple and combined attributes</w:t>
            </w:r>
            <w:r>
              <w:rPr>
                <w:webHidden/>
              </w:rPr>
              <w:tab/>
            </w:r>
            <w:r>
              <w:rPr>
                <w:webHidden/>
              </w:rPr>
              <w:fldChar w:fldCharType="begin"/>
            </w:r>
            <w:r>
              <w:rPr>
                <w:webHidden/>
              </w:rPr>
              <w:instrText xml:space="preserve"> PAGEREF _Toc244185251 \h </w:instrText>
            </w:r>
            <w:r>
              <w:rPr>
                <w:webHidden/>
              </w:rPr>
            </w:r>
            <w:r>
              <w:rPr>
                <w:webHidden/>
              </w:rPr>
              <w:fldChar w:fldCharType="separate"/>
            </w:r>
            <w:r>
              <w:rPr>
                <w:webHidden/>
              </w:rPr>
              <w:t>13</w:t>
            </w:r>
            <w:r>
              <w:rPr>
                <w:webHidden/>
              </w:rPr>
              <w:fldChar w:fldCharType="end"/>
            </w:r>
          </w:hyperlink>
        </w:p>
        <w:p w14:paraId="53034C0C" w14:textId="4DA2E89D" w:rsidR="00B85C82" w:rsidRDefault="00B85C82">
          <w:pPr>
            <w:pStyle w:val="TOC1"/>
            <w:rPr>
              <w:rFonts w:asciiTheme="minorHAnsi" w:hAnsiTheme="minorHAnsi"/>
              <w:bCs w:val="0"/>
              <w:lang w:eastAsia="en-AU"/>
            </w:rPr>
          </w:pPr>
          <w:hyperlink w:anchor="_Toc244185252" w:history="1">
            <w:r w:rsidRPr="005547D3">
              <w:rPr>
                <w:rStyle w:val="Hyperlink"/>
              </w:rPr>
              <w:t>The tests for discrimination must be clear, simple and inclusive</w:t>
            </w:r>
            <w:r>
              <w:rPr>
                <w:webHidden/>
              </w:rPr>
              <w:tab/>
            </w:r>
            <w:r>
              <w:rPr>
                <w:webHidden/>
              </w:rPr>
              <w:fldChar w:fldCharType="begin"/>
            </w:r>
            <w:r>
              <w:rPr>
                <w:webHidden/>
              </w:rPr>
              <w:instrText xml:space="preserve"> PAGEREF _Toc244185252 \h </w:instrText>
            </w:r>
            <w:r>
              <w:rPr>
                <w:webHidden/>
              </w:rPr>
            </w:r>
            <w:r>
              <w:rPr>
                <w:webHidden/>
              </w:rPr>
              <w:fldChar w:fldCharType="separate"/>
            </w:r>
            <w:r>
              <w:rPr>
                <w:webHidden/>
              </w:rPr>
              <w:t>14</w:t>
            </w:r>
            <w:r>
              <w:rPr>
                <w:webHidden/>
              </w:rPr>
              <w:fldChar w:fldCharType="end"/>
            </w:r>
          </w:hyperlink>
        </w:p>
        <w:p w14:paraId="40895501" w14:textId="3170788E" w:rsidR="00B85C82" w:rsidRDefault="00B85C82">
          <w:pPr>
            <w:pStyle w:val="TOC1"/>
            <w:rPr>
              <w:rFonts w:asciiTheme="minorHAnsi" w:hAnsiTheme="minorHAnsi"/>
              <w:bCs w:val="0"/>
              <w:lang w:eastAsia="en-AU"/>
            </w:rPr>
          </w:pPr>
          <w:hyperlink w:anchor="_Toc244185253" w:history="1">
            <w:r w:rsidRPr="005547D3">
              <w:rPr>
                <w:rStyle w:val="Hyperlink"/>
              </w:rPr>
              <w:t>The time for the implementation of a positive duty is now</w:t>
            </w:r>
            <w:r>
              <w:rPr>
                <w:webHidden/>
              </w:rPr>
              <w:tab/>
            </w:r>
            <w:r>
              <w:rPr>
                <w:webHidden/>
              </w:rPr>
              <w:fldChar w:fldCharType="begin"/>
            </w:r>
            <w:r>
              <w:rPr>
                <w:webHidden/>
              </w:rPr>
              <w:instrText xml:space="preserve"> PAGEREF _Toc244185253 \h </w:instrText>
            </w:r>
            <w:r>
              <w:rPr>
                <w:webHidden/>
              </w:rPr>
            </w:r>
            <w:r>
              <w:rPr>
                <w:webHidden/>
              </w:rPr>
              <w:fldChar w:fldCharType="separate"/>
            </w:r>
            <w:r>
              <w:rPr>
                <w:webHidden/>
              </w:rPr>
              <w:t>16</w:t>
            </w:r>
            <w:r>
              <w:rPr>
                <w:webHidden/>
              </w:rPr>
              <w:fldChar w:fldCharType="end"/>
            </w:r>
          </w:hyperlink>
        </w:p>
        <w:p w14:paraId="6F8EEFBC" w14:textId="672D34D7" w:rsidR="00B85C82" w:rsidRDefault="00B85C82">
          <w:pPr>
            <w:pStyle w:val="TOC1"/>
            <w:rPr>
              <w:rFonts w:asciiTheme="minorHAnsi" w:hAnsiTheme="minorHAnsi"/>
              <w:bCs w:val="0"/>
              <w:lang w:eastAsia="en-AU"/>
            </w:rPr>
          </w:pPr>
          <w:hyperlink w:anchor="_Toc244185254" w:history="1">
            <w:r w:rsidRPr="005547D3">
              <w:rPr>
                <w:rStyle w:val="Hyperlink"/>
              </w:rPr>
              <w:t>Vilification laws must protect people with disability in all public spaces</w:t>
            </w:r>
            <w:r>
              <w:rPr>
                <w:webHidden/>
              </w:rPr>
              <w:tab/>
            </w:r>
            <w:r>
              <w:rPr>
                <w:webHidden/>
              </w:rPr>
              <w:fldChar w:fldCharType="begin"/>
            </w:r>
            <w:r>
              <w:rPr>
                <w:webHidden/>
              </w:rPr>
              <w:instrText xml:space="preserve"> PAGEREF _Toc244185254 \h </w:instrText>
            </w:r>
            <w:r>
              <w:rPr>
                <w:webHidden/>
              </w:rPr>
            </w:r>
            <w:r>
              <w:rPr>
                <w:webHidden/>
              </w:rPr>
              <w:fldChar w:fldCharType="separate"/>
            </w:r>
            <w:r>
              <w:rPr>
                <w:webHidden/>
              </w:rPr>
              <w:t>18</w:t>
            </w:r>
            <w:r>
              <w:rPr>
                <w:webHidden/>
              </w:rPr>
              <w:fldChar w:fldCharType="end"/>
            </w:r>
          </w:hyperlink>
        </w:p>
        <w:p w14:paraId="4343C1BB" w14:textId="59900079" w:rsidR="00CD4D99" w:rsidRDefault="00CD4D99">
          <w:r>
            <w:rPr>
              <w:b/>
              <w:bCs/>
              <w:noProof/>
            </w:rPr>
            <w:fldChar w:fldCharType="end"/>
          </w:r>
        </w:p>
      </w:sdtContent>
    </w:sdt>
    <w:p w14:paraId="4821C3A8" w14:textId="77777777" w:rsidR="00AC7371" w:rsidRPr="00F11451" w:rsidRDefault="00AC7371" w:rsidP="00AC7371">
      <w:pPr>
        <w:pStyle w:val="QIDANParagraph"/>
      </w:pPr>
    </w:p>
    <w:p w14:paraId="525BD554" w14:textId="77777777" w:rsidR="00AC7371" w:rsidRPr="004601F1" w:rsidRDefault="00AC7371" w:rsidP="00AC7371">
      <w:pPr>
        <w:rPr>
          <w:rFonts w:ascii="Nunito Sans" w:hAnsi="Nunito Sans"/>
          <w:sz w:val="20"/>
          <w:szCs w:val="20"/>
          <w:lang w:val="en-AU"/>
        </w:rPr>
      </w:pPr>
    </w:p>
    <w:p w14:paraId="00472F2D" w14:textId="77777777" w:rsidR="00AC7371" w:rsidRDefault="00AC7371" w:rsidP="00AC7371">
      <w:pPr>
        <w:rPr>
          <w:rFonts w:ascii="Nunito Sans" w:hAnsi="Nunito Sans"/>
          <w:color w:val="FFFFFF" w:themeColor="background1"/>
          <w:sz w:val="28"/>
          <w:szCs w:val="28"/>
          <w:lang w:val="en-US"/>
        </w:rPr>
      </w:pPr>
    </w:p>
    <w:p w14:paraId="4944AF94" w14:textId="77777777" w:rsidR="00AE5979" w:rsidRDefault="00AE5979" w:rsidP="00AC7371">
      <w:pPr>
        <w:rPr>
          <w:rFonts w:ascii="Nunito Sans" w:hAnsi="Nunito Sans"/>
          <w:color w:val="FFFFFF" w:themeColor="background1"/>
          <w:sz w:val="28"/>
          <w:szCs w:val="28"/>
          <w:lang w:val="en-US"/>
        </w:rPr>
      </w:pPr>
    </w:p>
    <w:p w14:paraId="7DD5C83C" w14:textId="77777777" w:rsidR="00486A6A" w:rsidRDefault="00486A6A" w:rsidP="00AC7371">
      <w:pPr>
        <w:rPr>
          <w:rFonts w:ascii="Nunito Sans" w:hAnsi="Nunito Sans"/>
          <w:color w:val="FFFFFF" w:themeColor="background1"/>
          <w:sz w:val="28"/>
          <w:szCs w:val="28"/>
          <w:lang w:val="en-US"/>
        </w:rPr>
      </w:pPr>
    </w:p>
    <w:p w14:paraId="0DB6518B" w14:textId="77777777" w:rsidR="00486A6A" w:rsidRDefault="00486A6A" w:rsidP="00AC7371">
      <w:pPr>
        <w:rPr>
          <w:rFonts w:ascii="Nunito Sans" w:hAnsi="Nunito Sans"/>
          <w:color w:val="FFFFFF" w:themeColor="background1"/>
          <w:sz w:val="28"/>
          <w:szCs w:val="28"/>
          <w:lang w:val="en-US"/>
        </w:rPr>
      </w:pPr>
    </w:p>
    <w:p w14:paraId="3DC1619A" w14:textId="77777777" w:rsidR="00486A6A" w:rsidRDefault="00486A6A" w:rsidP="00AC7371">
      <w:pPr>
        <w:rPr>
          <w:rFonts w:ascii="Nunito Sans" w:hAnsi="Nunito Sans"/>
          <w:color w:val="FFFFFF" w:themeColor="background1"/>
          <w:sz w:val="28"/>
          <w:szCs w:val="28"/>
          <w:lang w:val="en-US"/>
        </w:rPr>
      </w:pPr>
    </w:p>
    <w:p w14:paraId="6E28838F" w14:textId="77777777" w:rsidR="00486A6A" w:rsidRDefault="00486A6A" w:rsidP="00AC7371">
      <w:pPr>
        <w:rPr>
          <w:rFonts w:ascii="Nunito Sans" w:hAnsi="Nunito Sans"/>
          <w:color w:val="FFFFFF" w:themeColor="background1"/>
          <w:sz w:val="28"/>
          <w:szCs w:val="28"/>
          <w:lang w:val="en-US"/>
        </w:rPr>
      </w:pPr>
    </w:p>
    <w:p w14:paraId="3318C167" w14:textId="77777777" w:rsidR="00486A6A" w:rsidRDefault="00486A6A" w:rsidP="00AC7371">
      <w:pPr>
        <w:rPr>
          <w:rFonts w:ascii="Nunito Sans" w:hAnsi="Nunito Sans"/>
          <w:color w:val="FFFFFF" w:themeColor="background1"/>
          <w:sz w:val="28"/>
          <w:szCs w:val="28"/>
          <w:lang w:val="en-US"/>
        </w:rPr>
      </w:pPr>
    </w:p>
    <w:p w14:paraId="4A109945" w14:textId="77777777" w:rsidR="0034229E" w:rsidRDefault="0034229E" w:rsidP="00AC7371">
      <w:pPr>
        <w:rPr>
          <w:rFonts w:ascii="Nunito Sans" w:hAnsi="Nunito Sans"/>
          <w:color w:val="FFFFFF" w:themeColor="background1"/>
          <w:sz w:val="28"/>
          <w:szCs w:val="28"/>
          <w:lang w:val="en-US"/>
        </w:rPr>
      </w:pPr>
    </w:p>
    <w:p w14:paraId="08D20971" w14:textId="77777777" w:rsidR="00274BDE" w:rsidRDefault="00274BDE" w:rsidP="00AF21AF">
      <w:pPr>
        <w:pStyle w:val="Heading1"/>
        <w:spacing w:line="336" w:lineRule="auto"/>
      </w:pPr>
      <w:bookmarkStart w:id="1" w:name="_Toc244185245"/>
      <w:r>
        <w:lastRenderedPageBreak/>
        <w:t>QIDAN recommendations</w:t>
      </w:r>
      <w:bookmarkEnd w:id="1"/>
    </w:p>
    <w:p w14:paraId="1E7287BF" w14:textId="0C83137E" w:rsidR="00691065" w:rsidRDefault="00691065" w:rsidP="00737587">
      <w:pPr>
        <w:pStyle w:val="QIDANParagraph"/>
        <w:numPr>
          <w:ilvl w:val="0"/>
          <w:numId w:val="12"/>
        </w:numPr>
        <w:spacing w:after="80" w:line="336" w:lineRule="auto"/>
        <w:ind w:left="357" w:hanging="357"/>
      </w:pPr>
      <w:r>
        <w:rPr>
          <w:lang w:val="en-GB"/>
        </w:rPr>
        <w:t xml:space="preserve">Replace all usage of ‘impairment’ in </w:t>
      </w:r>
      <w:r w:rsidRPr="009E3D5E">
        <w:rPr>
          <w:lang w:val="en-GB"/>
        </w:rPr>
        <w:t>the ADA to 'disability', to ensure clarity</w:t>
      </w:r>
      <w:r w:rsidR="006D7BDD">
        <w:rPr>
          <w:lang w:val="en-GB"/>
        </w:rPr>
        <w:t>, provide interjurisdictional consistency</w:t>
      </w:r>
      <w:r w:rsidRPr="009E3D5E">
        <w:rPr>
          <w:lang w:val="en-GB"/>
        </w:rPr>
        <w:t xml:space="preserve"> and remove gaps in protection</w:t>
      </w:r>
      <w:r>
        <w:rPr>
          <w:lang w:val="en-GB"/>
        </w:rPr>
        <w:t>.</w:t>
      </w:r>
      <w:r w:rsidRPr="009E3D5E">
        <w:rPr>
          <w:lang w:val="en-GB"/>
        </w:rPr>
        <w:t> </w:t>
      </w:r>
    </w:p>
    <w:p w14:paraId="7CC0FB3B" w14:textId="77815666" w:rsidR="00274BDE" w:rsidRPr="00F323E3" w:rsidRDefault="00274BDE" w:rsidP="005D1BBA">
      <w:pPr>
        <w:pStyle w:val="QIDANParagraph"/>
        <w:numPr>
          <w:ilvl w:val="0"/>
          <w:numId w:val="12"/>
        </w:numPr>
        <w:spacing w:after="0" w:line="336" w:lineRule="auto"/>
        <w:ind w:left="357" w:hanging="357"/>
      </w:pPr>
      <w:r>
        <w:t xml:space="preserve">Make the </w:t>
      </w:r>
      <w:r w:rsidRPr="00F323E3">
        <w:t xml:space="preserve">complaints process accessible to everyone, by: </w:t>
      </w:r>
    </w:p>
    <w:p w14:paraId="1272F5B5" w14:textId="1BFB76BF" w:rsidR="00274BDE" w:rsidRPr="00F323E3" w:rsidRDefault="00274BDE" w:rsidP="005D1BBA">
      <w:pPr>
        <w:pStyle w:val="ListParagraph"/>
        <w:numPr>
          <w:ilvl w:val="0"/>
          <w:numId w:val="16"/>
        </w:numPr>
        <w:spacing w:after="0" w:line="336" w:lineRule="auto"/>
        <w:contextualSpacing w:val="0"/>
        <w:rPr>
          <w:lang w:val="en-AU"/>
        </w:rPr>
      </w:pPr>
      <w:r w:rsidRPr="00F323E3">
        <w:rPr>
          <w:lang w:val="en-AU"/>
        </w:rPr>
        <w:t>ensuring information about rights and remedies is easy to find, understand and use</w:t>
      </w:r>
      <w:r w:rsidR="00B1005A">
        <w:rPr>
          <w:lang w:val="en-AU"/>
        </w:rPr>
        <w:t xml:space="preserve">, as per DRC Recommendation 4.14. </w:t>
      </w:r>
      <w:r w:rsidRPr="00F323E3">
        <w:rPr>
          <w:lang w:val="en-AU"/>
        </w:rPr>
        <w:t xml:space="preserve"> </w:t>
      </w:r>
    </w:p>
    <w:p w14:paraId="5F48CA30" w14:textId="77777777" w:rsidR="00274BDE" w:rsidRPr="00F323E3" w:rsidRDefault="00274BDE" w:rsidP="005D1BBA">
      <w:pPr>
        <w:pStyle w:val="ListParagraph"/>
        <w:numPr>
          <w:ilvl w:val="0"/>
          <w:numId w:val="16"/>
        </w:numPr>
        <w:spacing w:after="0" w:line="336" w:lineRule="auto"/>
        <w:contextualSpacing w:val="0"/>
        <w:rPr>
          <w:lang w:val="en-AU"/>
        </w:rPr>
      </w:pPr>
      <w:r w:rsidRPr="00F323E3">
        <w:rPr>
          <w:lang w:val="en-AU"/>
        </w:rPr>
        <w:t xml:space="preserve">allowing complaints to be made in more ways, including verbally </w:t>
      </w:r>
    </w:p>
    <w:p w14:paraId="06817E70" w14:textId="77777777" w:rsidR="00274BDE" w:rsidRPr="00F323E3" w:rsidRDefault="00274BDE" w:rsidP="005D1BBA">
      <w:pPr>
        <w:pStyle w:val="ListParagraph"/>
        <w:numPr>
          <w:ilvl w:val="0"/>
          <w:numId w:val="16"/>
        </w:numPr>
        <w:spacing w:after="0" w:line="336" w:lineRule="auto"/>
        <w:contextualSpacing w:val="0"/>
        <w:rPr>
          <w:lang w:val="en-AU"/>
        </w:rPr>
      </w:pPr>
      <w:r w:rsidRPr="00F323E3">
        <w:rPr>
          <w:lang w:val="en-AU"/>
        </w:rPr>
        <w:t xml:space="preserve">providing more flexible options for resolving complaints </w:t>
      </w:r>
    </w:p>
    <w:p w14:paraId="30DC50DA" w14:textId="2FF39467" w:rsidR="00274BDE" w:rsidRPr="00F323E3" w:rsidRDefault="00274BDE" w:rsidP="00737587">
      <w:pPr>
        <w:pStyle w:val="ListParagraph"/>
        <w:numPr>
          <w:ilvl w:val="0"/>
          <w:numId w:val="16"/>
        </w:numPr>
        <w:spacing w:after="80" w:line="336" w:lineRule="auto"/>
        <w:ind w:left="714" w:hanging="357"/>
        <w:contextualSpacing w:val="0"/>
        <w:rPr>
          <w:lang w:val="en-AU"/>
        </w:rPr>
      </w:pPr>
      <w:r>
        <w:rPr>
          <w:lang w:val="en-AU"/>
        </w:rPr>
        <w:t>enforcing outcomes</w:t>
      </w:r>
      <w:r w:rsidRPr="00F323E3">
        <w:rPr>
          <w:lang w:val="en-AU"/>
        </w:rPr>
        <w:t xml:space="preserve"> without placing further burden on </w:t>
      </w:r>
      <w:r>
        <w:rPr>
          <w:lang w:val="en-AU"/>
        </w:rPr>
        <w:t>people with disability</w:t>
      </w:r>
      <w:r w:rsidR="006D7BDD">
        <w:rPr>
          <w:lang w:val="en-AU"/>
        </w:rPr>
        <w:t>.</w:t>
      </w:r>
    </w:p>
    <w:p w14:paraId="0F167D96" w14:textId="77777777" w:rsidR="00274BDE" w:rsidRPr="001C2A64" w:rsidRDefault="00274BDE" w:rsidP="00737587">
      <w:pPr>
        <w:pStyle w:val="QIDANParagraph"/>
        <w:numPr>
          <w:ilvl w:val="0"/>
          <w:numId w:val="12"/>
        </w:numPr>
        <w:spacing w:after="80" w:line="336" w:lineRule="auto"/>
        <w:ind w:left="357" w:hanging="357"/>
      </w:pPr>
      <w:r w:rsidRPr="001C2A64">
        <w:rPr>
          <w:lang w:val="en-GB"/>
        </w:rPr>
        <w:t xml:space="preserve">Clarify the definition of public entity under the HRA to explicitly include private schools and organisations receiving </w:t>
      </w:r>
      <w:r>
        <w:rPr>
          <w:lang w:val="en-GB"/>
        </w:rPr>
        <w:t>public</w:t>
      </w:r>
      <w:r w:rsidRPr="001C2A64">
        <w:rPr>
          <w:lang w:val="en-GB"/>
        </w:rPr>
        <w:t xml:space="preserve"> funding</w:t>
      </w:r>
      <w:r>
        <w:rPr>
          <w:lang w:val="en-GB"/>
        </w:rPr>
        <w:t>.</w:t>
      </w:r>
    </w:p>
    <w:p w14:paraId="6CDC946B" w14:textId="1FDC224C" w:rsidR="00274BDE" w:rsidRDefault="00BF16D9" w:rsidP="008D745F">
      <w:pPr>
        <w:pStyle w:val="QIDANParagraph"/>
        <w:numPr>
          <w:ilvl w:val="0"/>
          <w:numId w:val="12"/>
        </w:numPr>
        <w:spacing w:after="80" w:line="336" w:lineRule="auto"/>
        <w:ind w:left="357" w:hanging="357"/>
      </w:pPr>
      <w:r>
        <w:t>Close</w:t>
      </w:r>
      <w:r w:rsidR="00274BDE">
        <w:t xml:space="preserve"> the </w:t>
      </w:r>
      <w:r>
        <w:t>gap in protections for intersectional discrimination by adding</w:t>
      </w:r>
      <w:r w:rsidR="00274BDE">
        <w:t xml:space="preserve"> “a combination of two or more of any of the above attributes” under section 7 of the ADA and include </w:t>
      </w:r>
      <w:r w:rsidR="00274BDE">
        <w:rPr>
          <w:lang w:val="en-GB"/>
        </w:rPr>
        <w:t>“the m</w:t>
      </w:r>
      <w:r w:rsidR="00274BDE" w:rsidRPr="009434A2">
        <w:rPr>
          <w:lang w:val="en-GB"/>
        </w:rPr>
        <w:t>eaning of discrimination on the basis of an attribute</w:t>
      </w:r>
      <w:r w:rsidR="00274BDE">
        <w:rPr>
          <w:lang w:val="en-GB"/>
        </w:rPr>
        <w:t>” under section 8 of the ADA</w:t>
      </w:r>
      <w:r w:rsidR="00274BDE">
        <w:t>.</w:t>
      </w:r>
    </w:p>
    <w:p w14:paraId="6536BE29" w14:textId="0006F168" w:rsidR="00274BDE" w:rsidRDefault="00844283" w:rsidP="008D745F">
      <w:pPr>
        <w:pStyle w:val="QIDANParagraph"/>
        <w:numPr>
          <w:ilvl w:val="0"/>
          <w:numId w:val="12"/>
        </w:numPr>
        <w:spacing w:after="80" w:line="336" w:lineRule="auto"/>
        <w:ind w:left="357" w:hanging="357"/>
      </w:pPr>
      <w:r>
        <w:t xml:space="preserve">Simplify the </w:t>
      </w:r>
      <w:r w:rsidR="000C1E0E">
        <w:t>definitions of</w:t>
      </w:r>
      <w:r>
        <w:t xml:space="preserve"> </w:t>
      </w:r>
      <w:r w:rsidR="00274BDE">
        <w:t>direct and indirect discrimination under the ADA</w:t>
      </w:r>
      <w:r>
        <w:t xml:space="preserve"> to rem</w:t>
      </w:r>
      <w:r w:rsidR="00274BDE">
        <w:t>ove the hypothetical comparator</w:t>
      </w:r>
      <w:r w:rsidR="000C1E0E">
        <w:t xml:space="preserve"> and </w:t>
      </w:r>
      <w:r w:rsidR="00622C2C">
        <w:t>replace the reasonableness element of indirect discrimination with an exception for unjustifiable hardship</w:t>
      </w:r>
      <w:r w:rsidR="006E4776">
        <w:t xml:space="preserve">, as per DRC Recommendations 4.23 and </w:t>
      </w:r>
      <w:r w:rsidR="009C2CDF">
        <w:t>4.24</w:t>
      </w:r>
      <w:r w:rsidR="00274BDE">
        <w:t xml:space="preserve">. </w:t>
      </w:r>
    </w:p>
    <w:p w14:paraId="002A1D50" w14:textId="19C7887E" w:rsidR="00274BDE" w:rsidRDefault="00274BDE" w:rsidP="008D745F">
      <w:pPr>
        <w:pStyle w:val="QIDANParagraph"/>
        <w:numPr>
          <w:ilvl w:val="0"/>
          <w:numId w:val="12"/>
        </w:numPr>
        <w:spacing w:after="80" w:line="336" w:lineRule="auto"/>
        <w:ind w:left="357" w:hanging="357"/>
      </w:pPr>
      <w:r>
        <w:t>Shift the burden of proof from the person making the complaint to the person subject to the complaint, who then must prove their alleged conduct was not discriminatory</w:t>
      </w:r>
      <w:r w:rsidR="00B3479E">
        <w:t>, as per DRC Recommendation 4.23</w:t>
      </w:r>
      <w:r>
        <w:t>.</w:t>
      </w:r>
    </w:p>
    <w:p w14:paraId="6AB3478C" w14:textId="47949B49" w:rsidR="00274BDE" w:rsidRDefault="00274BDE" w:rsidP="00737587">
      <w:pPr>
        <w:pStyle w:val="QIDANParagraph"/>
        <w:numPr>
          <w:ilvl w:val="0"/>
          <w:numId w:val="12"/>
        </w:numPr>
        <w:spacing w:after="0" w:line="336" w:lineRule="auto"/>
        <w:ind w:left="357" w:hanging="357"/>
      </w:pPr>
      <w:r>
        <w:t xml:space="preserve">Implement </w:t>
      </w:r>
      <w:r>
        <w:rPr>
          <w:lang w:val="en-GB"/>
        </w:rPr>
        <w:t xml:space="preserve">a positive duty under the ADA </w:t>
      </w:r>
      <w:r w:rsidR="00621975">
        <w:rPr>
          <w:lang w:val="en-GB"/>
        </w:rPr>
        <w:t>as per DRC Recommendations 4.12 and 4.27,</w:t>
      </w:r>
      <w:r>
        <w:rPr>
          <w:lang w:val="en-GB"/>
        </w:rPr>
        <w:t xml:space="preserve"> to be enforced by the QHRC under a staged approach:</w:t>
      </w:r>
    </w:p>
    <w:p w14:paraId="7ACCBC9E" w14:textId="77777777" w:rsidR="00274BDE" w:rsidRDefault="00274BDE" w:rsidP="00737587">
      <w:pPr>
        <w:pStyle w:val="QIDANParagraph"/>
        <w:numPr>
          <w:ilvl w:val="0"/>
          <w:numId w:val="18"/>
        </w:numPr>
        <w:spacing w:after="0" w:line="336" w:lineRule="auto"/>
        <w:ind w:left="851" w:hanging="284"/>
      </w:pPr>
      <w:r>
        <w:t>Year 1: Education for duty holders</w:t>
      </w:r>
    </w:p>
    <w:p w14:paraId="1B6D042B" w14:textId="77777777" w:rsidR="00274BDE" w:rsidRDefault="00274BDE" w:rsidP="00737587">
      <w:pPr>
        <w:pStyle w:val="QIDANParagraph"/>
        <w:numPr>
          <w:ilvl w:val="0"/>
          <w:numId w:val="18"/>
        </w:numPr>
        <w:spacing w:after="0" w:line="336" w:lineRule="auto"/>
        <w:ind w:left="851" w:hanging="284"/>
      </w:pPr>
      <w:r>
        <w:t>Year 2: Establishing the regulatory arm of the QHRC and enforcement of the duty</w:t>
      </w:r>
    </w:p>
    <w:p w14:paraId="4045A862" w14:textId="77777777" w:rsidR="00274BDE" w:rsidRDefault="00274BDE" w:rsidP="00737587">
      <w:pPr>
        <w:pStyle w:val="QIDANParagraph"/>
        <w:numPr>
          <w:ilvl w:val="0"/>
          <w:numId w:val="18"/>
        </w:numPr>
        <w:spacing w:after="0" w:line="336" w:lineRule="auto"/>
        <w:ind w:left="851" w:hanging="284"/>
      </w:pPr>
      <w:r>
        <w:t>Year 3: Independent review and evaluation of the implementation.</w:t>
      </w:r>
    </w:p>
    <w:p w14:paraId="738FAA73" w14:textId="7AD88E86" w:rsidR="00274BDE" w:rsidRDefault="00DC67FA" w:rsidP="0083758B">
      <w:pPr>
        <w:pStyle w:val="QIDANParagraph"/>
        <w:numPr>
          <w:ilvl w:val="0"/>
          <w:numId w:val="12"/>
        </w:numPr>
        <w:spacing w:after="0" w:line="336" w:lineRule="auto"/>
        <w:ind w:left="357" w:hanging="357"/>
      </w:pPr>
      <w:r>
        <w:t>E</w:t>
      </w:r>
      <w:r w:rsidR="00274BDE">
        <w:t>xpan</w:t>
      </w:r>
      <w:r w:rsidR="00B3479E">
        <w:t>d</w:t>
      </w:r>
      <w:r w:rsidR="00274BDE">
        <w:t xml:space="preserve"> vilification protections to</w:t>
      </w:r>
      <w:r w:rsidR="0083758B">
        <w:t xml:space="preserve"> </w:t>
      </w:r>
      <w:r w:rsidR="00274BDE">
        <w:t>prohibit vilification on the additional ground of disability</w:t>
      </w:r>
      <w:r w:rsidR="003F50E1">
        <w:t>, as per DRC Recommendation 4.30</w:t>
      </w:r>
    </w:p>
    <w:p w14:paraId="698AFA62" w14:textId="5901CB69" w:rsidR="00274BDE" w:rsidRDefault="00274BDE" w:rsidP="0083758B">
      <w:pPr>
        <w:pStyle w:val="QIDANParagraph"/>
        <w:spacing w:after="0" w:line="336" w:lineRule="auto"/>
        <w:ind w:left="567"/>
      </w:pPr>
    </w:p>
    <w:p w14:paraId="01799186" w14:textId="4FB0AF09" w:rsidR="00E16CF7" w:rsidRPr="00A12FE2" w:rsidRDefault="00E16CF7" w:rsidP="00CD4D99">
      <w:pPr>
        <w:pStyle w:val="Heading1"/>
        <w:rPr>
          <w:b w:val="0"/>
        </w:rPr>
      </w:pPr>
      <w:bookmarkStart w:id="2" w:name="_Toc244185246"/>
      <w:r w:rsidRPr="00A12FE2">
        <w:lastRenderedPageBreak/>
        <w:t>About QIDAN</w:t>
      </w:r>
      <w:bookmarkEnd w:id="2"/>
    </w:p>
    <w:p w14:paraId="79AD6093" w14:textId="49D1C2C0" w:rsidR="00FA5318" w:rsidRDefault="00E16CF7" w:rsidP="00E16CF7">
      <w:pPr>
        <w:rPr>
          <w:rFonts w:ascii="Nunito Sans" w:hAnsi="Nunito Sans"/>
          <w:szCs w:val="20"/>
        </w:rPr>
      </w:pPr>
      <w:r w:rsidRPr="0053578E">
        <w:rPr>
          <w:rFonts w:ascii="Nunito Sans" w:hAnsi="Nunito Sans"/>
          <w:szCs w:val="20"/>
        </w:rPr>
        <w:t>The Queensland Independent Disability Advocacy Network (QIDAN) is a group of organisations</w:t>
      </w:r>
      <w:r w:rsidR="000B2F28">
        <w:rPr>
          <w:rFonts w:ascii="Nunito Sans" w:hAnsi="Nunito Sans"/>
          <w:szCs w:val="20"/>
        </w:rPr>
        <w:t xml:space="preserve"> </w:t>
      </w:r>
      <w:r w:rsidR="000B2F28" w:rsidRPr="0053578E">
        <w:rPr>
          <w:rFonts w:ascii="Nunito Sans" w:hAnsi="Nunito Sans"/>
          <w:szCs w:val="20"/>
        </w:rPr>
        <w:t>funded under the Queensland Disability Advocacy Program</w:t>
      </w:r>
      <w:r w:rsidR="000B2F28">
        <w:rPr>
          <w:rFonts w:ascii="Nunito Sans" w:hAnsi="Nunito Sans"/>
          <w:szCs w:val="20"/>
        </w:rPr>
        <w:t xml:space="preserve"> to</w:t>
      </w:r>
      <w:r w:rsidRPr="0053578E">
        <w:rPr>
          <w:rFonts w:ascii="Nunito Sans" w:hAnsi="Nunito Sans"/>
          <w:szCs w:val="20"/>
        </w:rPr>
        <w:t xml:space="preserve"> provide individual advocacy assistance to Queenslanders with disability. </w:t>
      </w:r>
      <w:r w:rsidR="00F230DF">
        <w:rPr>
          <w:rFonts w:ascii="Nunito Sans" w:hAnsi="Nunito Sans"/>
          <w:szCs w:val="20"/>
        </w:rPr>
        <w:t>Our</w:t>
      </w:r>
      <w:r w:rsidR="00F230DF" w:rsidRPr="0053578E">
        <w:rPr>
          <w:rFonts w:ascii="Nunito Sans" w:hAnsi="Nunito Sans"/>
          <w:szCs w:val="20"/>
        </w:rPr>
        <w:t xml:space="preserve"> </w:t>
      </w:r>
      <w:r w:rsidRPr="0053578E">
        <w:rPr>
          <w:rFonts w:ascii="Nunito Sans" w:hAnsi="Nunito Sans"/>
          <w:szCs w:val="20"/>
        </w:rPr>
        <w:t xml:space="preserve">member organisations </w:t>
      </w:r>
      <w:r w:rsidR="00F230DF">
        <w:rPr>
          <w:rFonts w:ascii="Nunito Sans" w:hAnsi="Nunito Sans"/>
          <w:szCs w:val="20"/>
        </w:rPr>
        <w:t>are</w:t>
      </w:r>
      <w:r w:rsidRPr="0053578E">
        <w:rPr>
          <w:rFonts w:ascii="Nunito Sans" w:hAnsi="Nunito Sans"/>
          <w:szCs w:val="20"/>
        </w:rPr>
        <w:t xml:space="preserve"> Aged and Disability Advocacy; AMPARO Advocacy Inc; Capricorn Citizen Advocacy; Mackay Advocacy Inc; People with Disability Australia; Queensland Advocacy for Inclusion; Rights in Action; Speaking Up For You; TASC; and Yarn2Action run by Aged and Disability Advocacy. </w:t>
      </w:r>
      <w:r w:rsidR="0097308F">
        <w:rPr>
          <w:rFonts w:ascii="Nunito Sans" w:hAnsi="Nunito Sans"/>
          <w:szCs w:val="20"/>
        </w:rPr>
        <w:t xml:space="preserve">Our </w:t>
      </w:r>
      <w:r w:rsidRPr="0053578E">
        <w:rPr>
          <w:rFonts w:ascii="Nunito Sans" w:hAnsi="Nunito Sans"/>
          <w:szCs w:val="20"/>
        </w:rPr>
        <w:t xml:space="preserve">main role </w:t>
      </w:r>
      <w:r>
        <w:rPr>
          <w:rFonts w:ascii="Nunito Sans" w:hAnsi="Nunito Sans"/>
          <w:szCs w:val="20"/>
        </w:rPr>
        <w:t xml:space="preserve">as advocates </w:t>
      </w:r>
      <w:r w:rsidRPr="0053578E">
        <w:rPr>
          <w:rFonts w:ascii="Nunito Sans" w:hAnsi="Nunito Sans"/>
          <w:szCs w:val="20"/>
        </w:rPr>
        <w:t>is to support and empower people with disability to understand and uphold their rights</w:t>
      </w:r>
      <w:r w:rsidR="00F65AB7">
        <w:rPr>
          <w:rFonts w:ascii="Nunito Sans" w:hAnsi="Nunito Sans"/>
          <w:szCs w:val="20"/>
        </w:rPr>
        <w:t xml:space="preserve">, </w:t>
      </w:r>
      <w:r w:rsidRPr="0053578E">
        <w:rPr>
          <w:rFonts w:ascii="Nunito Sans" w:hAnsi="Nunito Sans"/>
          <w:szCs w:val="20"/>
        </w:rPr>
        <w:t>to navigate complex systems</w:t>
      </w:r>
      <w:r w:rsidR="00F65AB7">
        <w:rPr>
          <w:rFonts w:ascii="Nunito Sans" w:hAnsi="Nunito Sans"/>
          <w:szCs w:val="20"/>
        </w:rPr>
        <w:t xml:space="preserve"> and to </w:t>
      </w:r>
      <w:r w:rsidR="005C70CE">
        <w:rPr>
          <w:rFonts w:ascii="Nunito Sans" w:hAnsi="Nunito Sans"/>
          <w:szCs w:val="20"/>
        </w:rPr>
        <w:t>respond to discriminatory actions.</w:t>
      </w:r>
      <w:r w:rsidR="00A87E40">
        <w:rPr>
          <w:rFonts w:ascii="Nunito Sans" w:hAnsi="Nunito Sans"/>
          <w:szCs w:val="20"/>
        </w:rPr>
        <w:t xml:space="preserve"> </w:t>
      </w:r>
      <w:r w:rsidR="00A87E40" w:rsidRPr="0053578E">
        <w:rPr>
          <w:rFonts w:ascii="Nunito Sans" w:hAnsi="Nunito Sans"/>
          <w:szCs w:val="20"/>
        </w:rPr>
        <w:t xml:space="preserve">QIDAN members meet regularly to discuss the pressing issues impacting people with disability in our communities and </w:t>
      </w:r>
      <w:r w:rsidR="00A87E40">
        <w:rPr>
          <w:rFonts w:ascii="Nunito Sans" w:hAnsi="Nunito Sans"/>
          <w:szCs w:val="20"/>
        </w:rPr>
        <w:t>disability discrimination is one of the most common underlying issues experienced by people we assist.</w:t>
      </w:r>
    </w:p>
    <w:p w14:paraId="3694DFA8" w14:textId="51D3F6B0" w:rsidR="00FA5318" w:rsidRDefault="00701EDE" w:rsidP="00E16CF7">
      <w:pPr>
        <w:rPr>
          <w:rFonts w:ascii="Nunito Sans" w:hAnsi="Nunito Sans"/>
          <w:szCs w:val="20"/>
        </w:rPr>
      </w:pPr>
      <w:r>
        <w:rPr>
          <w:rFonts w:ascii="Nunito Sans" w:hAnsi="Nunito Sans"/>
          <w:szCs w:val="20"/>
        </w:rPr>
        <w:t xml:space="preserve">In </w:t>
      </w:r>
      <w:r w:rsidR="00C96F7C">
        <w:rPr>
          <w:rFonts w:ascii="Nunito Sans" w:hAnsi="Nunito Sans"/>
          <w:szCs w:val="20"/>
        </w:rPr>
        <w:t xml:space="preserve">the 2025-26 financial year, our advocates </w:t>
      </w:r>
      <w:r w:rsidR="00F16097">
        <w:rPr>
          <w:rFonts w:ascii="Nunito Sans" w:hAnsi="Nunito Sans"/>
          <w:szCs w:val="20"/>
        </w:rPr>
        <w:t xml:space="preserve">helped 50 people with disability </w:t>
      </w:r>
      <w:r w:rsidR="00D96A65">
        <w:rPr>
          <w:rFonts w:ascii="Nunito Sans" w:hAnsi="Nunito Sans"/>
          <w:szCs w:val="20"/>
        </w:rPr>
        <w:t>with 72 discrimination</w:t>
      </w:r>
      <w:r w:rsidR="009B1868">
        <w:rPr>
          <w:rFonts w:ascii="Nunito Sans" w:hAnsi="Nunito Sans"/>
          <w:szCs w:val="20"/>
        </w:rPr>
        <w:t xml:space="preserve"> complaints</w:t>
      </w:r>
      <w:r w:rsidR="00D96A65">
        <w:rPr>
          <w:rFonts w:ascii="Nunito Sans" w:hAnsi="Nunito Sans"/>
          <w:szCs w:val="20"/>
        </w:rPr>
        <w:t xml:space="preserve"> </w:t>
      </w:r>
      <w:r w:rsidR="00617173">
        <w:rPr>
          <w:rFonts w:ascii="Nunito Sans" w:hAnsi="Nunito Sans"/>
          <w:szCs w:val="20"/>
        </w:rPr>
        <w:t xml:space="preserve">(an increase of </w:t>
      </w:r>
      <w:r w:rsidR="00701CED">
        <w:rPr>
          <w:rFonts w:ascii="Nunito Sans" w:hAnsi="Nunito Sans"/>
          <w:szCs w:val="20"/>
        </w:rPr>
        <w:t>67% from 2024-25</w:t>
      </w:r>
      <w:r w:rsidR="00E75A29">
        <w:rPr>
          <w:rFonts w:ascii="Nunito Sans" w:hAnsi="Nunito Sans"/>
          <w:szCs w:val="20"/>
        </w:rPr>
        <w:t>)</w:t>
      </w:r>
      <w:r w:rsidR="00D96A65">
        <w:rPr>
          <w:rFonts w:ascii="Nunito Sans" w:hAnsi="Nunito Sans"/>
          <w:szCs w:val="20"/>
        </w:rPr>
        <w:t>.</w:t>
      </w:r>
      <w:r w:rsidR="003C63F9">
        <w:rPr>
          <w:rFonts w:ascii="Nunito Sans" w:hAnsi="Nunito Sans"/>
          <w:szCs w:val="20"/>
        </w:rPr>
        <w:t xml:space="preserve"> </w:t>
      </w:r>
      <w:r w:rsidR="005D2C2D">
        <w:rPr>
          <w:rFonts w:ascii="Nunito Sans" w:hAnsi="Nunito Sans"/>
          <w:szCs w:val="20"/>
        </w:rPr>
        <w:t>Of these</w:t>
      </w:r>
      <w:r w:rsidR="00E75A29">
        <w:rPr>
          <w:rFonts w:ascii="Nunito Sans" w:hAnsi="Nunito Sans"/>
          <w:szCs w:val="20"/>
        </w:rPr>
        <w:t>:</w:t>
      </w:r>
    </w:p>
    <w:p w14:paraId="385112BA" w14:textId="5D89CD70" w:rsidR="009613A3" w:rsidRDefault="009613A3" w:rsidP="00330D86">
      <w:pPr>
        <w:pStyle w:val="ListParagraph"/>
        <w:numPr>
          <w:ilvl w:val="0"/>
          <w:numId w:val="19"/>
        </w:numPr>
        <w:rPr>
          <w:rFonts w:ascii="Nunito Sans" w:hAnsi="Nunito Sans"/>
          <w:szCs w:val="20"/>
        </w:rPr>
      </w:pPr>
      <w:r>
        <w:rPr>
          <w:rFonts w:ascii="Nunito Sans" w:hAnsi="Nunito Sans"/>
          <w:szCs w:val="20"/>
        </w:rPr>
        <w:t xml:space="preserve">22% </w:t>
      </w:r>
      <w:r w:rsidR="00DA3ABD">
        <w:rPr>
          <w:rFonts w:ascii="Nunito Sans" w:hAnsi="Nunito Sans"/>
          <w:szCs w:val="20"/>
        </w:rPr>
        <w:t>were for</w:t>
      </w:r>
      <w:r>
        <w:rPr>
          <w:rFonts w:ascii="Nunito Sans" w:hAnsi="Nunito Sans"/>
          <w:szCs w:val="20"/>
        </w:rPr>
        <w:t xml:space="preserve"> people with a physical disability</w:t>
      </w:r>
    </w:p>
    <w:p w14:paraId="0674975B" w14:textId="0A9B2652" w:rsidR="009613A3" w:rsidRDefault="009613A3" w:rsidP="00330D86">
      <w:pPr>
        <w:pStyle w:val="ListParagraph"/>
        <w:numPr>
          <w:ilvl w:val="0"/>
          <w:numId w:val="19"/>
        </w:numPr>
        <w:rPr>
          <w:rFonts w:ascii="Nunito Sans" w:hAnsi="Nunito Sans"/>
          <w:szCs w:val="20"/>
        </w:rPr>
      </w:pPr>
      <w:r>
        <w:rPr>
          <w:rFonts w:ascii="Nunito Sans" w:hAnsi="Nunito Sans"/>
          <w:szCs w:val="20"/>
        </w:rPr>
        <w:t xml:space="preserve">20% were </w:t>
      </w:r>
      <w:r w:rsidR="0040638B">
        <w:rPr>
          <w:rFonts w:ascii="Nunito Sans" w:hAnsi="Nunito Sans"/>
          <w:szCs w:val="20"/>
        </w:rPr>
        <w:t>for</w:t>
      </w:r>
      <w:r>
        <w:rPr>
          <w:rFonts w:ascii="Nunito Sans" w:hAnsi="Nunito Sans"/>
          <w:szCs w:val="20"/>
        </w:rPr>
        <w:t xml:space="preserve"> people with a psychosocial disability</w:t>
      </w:r>
    </w:p>
    <w:p w14:paraId="49E6DDC5" w14:textId="7D19C917" w:rsidR="00BD3E6D" w:rsidRDefault="00BD3E6D" w:rsidP="00330D86">
      <w:pPr>
        <w:pStyle w:val="ListParagraph"/>
        <w:numPr>
          <w:ilvl w:val="0"/>
          <w:numId w:val="19"/>
        </w:numPr>
        <w:rPr>
          <w:rFonts w:ascii="Nunito Sans" w:hAnsi="Nunito Sans"/>
          <w:szCs w:val="20"/>
        </w:rPr>
      </w:pPr>
      <w:r>
        <w:rPr>
          <w:rFonts w:ascii="Nunito Sans" w:hAnsi="Nunito Sans"/>
          <w:szCs w:val="20"/>
        </w:rPr>
        <w:t xml:space="preserve">18% were </w:t>
      </w:r>
      <w:r w:rsidR="0040638B">
        <w:rPr>
          <w:rFonts w:ascii="Nunito Sans" w:hAnsi="Nunito Sans"/>
          <w:szCs w:val="20"/>
        </w:rPr>
        <w:t>for</w:t>
      </w:r>
      <w:r>
        <w:rPr>
          <w:rFonts w:ascii="Nunito Sans" w:hAnsi="Nunito Sans"/>
          <w:szCs w:val="20"/>
        </w:rPr>
        <w:t xml:space="preserve"> people with autism</w:t>
      </w:r>
    </w:p>
    <w:p w14:paraId="348C726A" w14:textId="17E85A83" w:rsidR="00C511D2" w:rsidRDefault="00C511D2" w:rsidP="00330D86">
      <w:pPr>
        <w:pStyle w:val="ListParagraph"/>
        <w:numPr>
          <w:ilvl w:val="0"/>
          <w:numId w:val="19"/>
        </w:numPr>
        <w:rPr>
          <w:rFonts w:ascii="Nunito Sans" w:hAnsi="Nunito Sans"/>
          <w:szCs w:val="20"/>
        </w:rPr>
      </w:pPr>
      <w:r>
        <w:rPr>
          <w:rFonts w:ascii="Nunito Sans" w:hAnsi="Nunito Sans"/>
          <w:szCs w:val="20"/>
        </w:rPr>
        <w:t xml:space="preserve">24% were </w:t>
      </w:r>
      <w:r w:rsidR="0040638B">
        <w:rPr>
          <w:rFonts w:ascii="Nunito Sans" w:hAnsi="Nunito Sans"/>
          <w:szCs w:val="20"/>
        </w:rPr>
        <w:t>for</w:t>
      </w:r>
      <w:r>
        <w:rPr>
          <w:rFonts w:ascii="Nunito Sans" w:hAnsi="Nunito Sans"/>
          <w:szCs w:val="20"/>
        </w:rPr>
        <w:t xml:space="preserve"> people with disability experienc</w:t>
      </w:r>
      <w:r w:rsidR="00E76457">
        <w:rPr>
          <w:rFonts w:ascii="Nunito Sans" w:hAnsi="Nunito Sans"/>
          <w:szCs w:val="20"/>
        </w:rPr>
        <w:t>ing</w:t>
      </w:r>
      <w:r>
        <w:rPr>
          <w:rFonts w:ascii="Nunito Sans" w:hAnsi="Nunito Sans"/>
          <w:szCs w:val="20"/>
        </w:rPr>
        <w:t xml:space="preserve"> domestic, family and sexual violence (DFSV)</w:t>
      </w:r>
    </w:p>
    <w:p w14:paraId="70034136" w14:textId="47E51DEB" w:rsidR="00330D86" w:rsidRDefault="00330D0F" w:rsidP="00330D86">
      <w:pPr>
        <w:pStyle w:val="ListParagraph"/>
        <w:numPr>
          <w:ilvl w:val="0"/>
          <w:numId w:val="19"/>
        </w:numPr>
        <w:rPr>
          <w:rFonts w:ascii="Nunito Sans" w:hAnsi="Nunito Sans"/>
          <w:szCs w:val="20"/>
        </w:rPr>
      </w:pPr>
      <w:r>
        <w:rPr>
          <w:rFonts w:ascii="Nunito Sans" w:hAnsi="Nunito Sans"/>
          <w:szCs w:val="20"/>
        </w:rPr>
        <w:t xml:space="preserve">22% </w:t>
      </w:r>
      <w:r w:rsidR="007A0AD5">
        <w:rPr>
          <w:rFonts w:ascii="Nunito Sans" w:hAnsi="Nunito Sans"/>
          <w:szCs w:val="20"/>
        </w:rPr>
        <w:t xml:space="preserve">were </w:t>
      </w:r>
      <w:r w:rsidR="0040638B">
        <w:rPr>
          <w:rFonts w:ascii="Nunito Sans" w:hAnsi="Nunito Sans"/>
          <w:szCs w:val="20"/>
        </w:rPr>
        <w:t>for</w:t>
      </w:r>
      <w:r w:rsidR="007A0AD5">
        <w:rPr>
          <w:rFonts w:ascii="Nunito Sans" w:hAnsi="Nunito Sans"/>
          <w:szCs w:val="20"/>
        </w:rPr>
        <w:t xml:space="preserve"> First Nati</w:t>
      </w:r>
      <w:r w:rsidR="005D2C2D">
        <w:rPr>
          <w:rFonts w:ascii="Nunito Sans" w:hAnsi="Nunito Sans"/>
          <w:szCs w:val="20"/>
        </w:rPr>
        <w:t xml:space="preserve">ons people with disability </w:t>
      </w:r>
      <w:r>
        <w:rPr>
          <w:rFonts w:ascii="Nunito Sans" w:hAnsi="Nunito Sans"/>
          <w:szCs w:val="20"/>
        </w:rPr>
        <w:t xml:space="preserve"> </w:t>
      </w:r>
    </w:p>
    <w:p w14:paraId="60954F68" w14:textId="3BB9A167" w:rsidR="009613A3" w:rsidRDefault="005F7FD0" w:rsidP="00330D86">
      <w:pPr>
        <w:pStyle w:val="ListParagraph"/>
        <w:numPr>
          <w:ilvl w:val="0"/>
          <w:numId w:val="19"/>
        </w:numPr>
        <w:rPr>
          <w:rFonts w:ascii="Nunito Sans" w:hAnsi="Nunito Sans"/>
          <w:szCs w:val="20"/>
        </w:rPr>
      </w:pPr>
      <w:r>
        <w:rPr>
          <w:rFonts w:ascii="Nunito Sans" w:hAnsi="Nunito Sans"/>
          <w:szCs w:val="20"/>
        </w:rPr>
        <w:t xml:space="preserve">16% were </w:t>
      </w:r>
      <w:r w:rsidR="0040638B">
        <w:rPr>
          <w:rFonts w:ascii="Nunito Sans" w:hAnsi="Nunito Sans"/>
          <w:szCs w:val="20"/>
        </w:rPr>
        <w:t>for</w:t>
      </w:r>
      <w:r>
        <w:rPr>
          <w:rFonts w:ascii="Nunito Sans" w:hAnsi="Nunito Sans"/>
          <w:szCs w:val="20"/>
        </w:rPr>
        <w:t xml:space="preserve"> people with disability from </w:t>
      </w:r>
      <w:r w:rsidR="00180182">
        <w:rPr>
          <w:rFonts w:ascii="Nunito Sans" w:hAnsi="Nunito Sans"/>
          <w:szCs w:val="20"/>
        </w:rPr>
        <w:t xml:space="preserve">a culturally and linguistically diverse (CALD) background </w:t>
      </w:r>
    </w:p>
    <w:p w14:paraId="5A4992E2" w14:textId="5B71CEDF" w:rsidR="00180182" w:rsidRDefault="00180182" w:rsidP="00330D86">
      <w:pPr>
        <w:pStyle w:val="ListParagraph"/>
        <w:numPr>
          <w:ilvl w:val="0"/>
          <w:numId w:val="19"/>
        </w:numPr>
        <w:rPr>
          <w:rFonts w:ascii="Nunito Sans" w:hAnsi="Nunito Sans"/>
          <w:szCs w:val="20"/>
        </w:rPr>
      </w:pPr>
      <w:r>
        <w:rPr>
          <w:rFonts w:ascii="Nunito Sans" w:hAnsi="Nunito Sans"/>
          <w:szCs w:val="20"/>
        </w:rPr>
        <w:t xml:space="preserve">8% were </w:t>
      </w:r>
      <w:r w:rsidR="0040638B">
        <w:rPr>
          <w:rFonts w:ascii="Nunito Sans" w:hAnsi="Nunito Sans"/>
          <w:szCs w:val="20"/>
        </w:rPr>
        <w:t>for</w:t>
      </w:r>
      <w:r>
        <w:rPr>
          <w:rFonts w:ascii="Nunito Sans" w:hAnsi="Nunito Sans"/>
          <w:szCs w:val="20"/>
        </w:rPr>
        <w:t xml:space="preserve"> LQBTQIA+SB people with disability</w:t>
      </w:r>
    </w:p>
    <w:p w14:paraId="6C776F33" w14:textId="381A34C7" w:rsidR="00180182" w:rsidRDefault="00AF358C" w:rsidP="00691065">
      <w:pPr>
        <w:pStyle w:val="ListParagraph"/>
        <w:numPr>
          <w:ilvl w:val="0"/>
          <w:numId w:val="19"/>
        </w:numPr>
        <w:rPr>
          <w:rFonts w:ascii="Nunito Sans" w:hAnsi="Nunito Sans"/>
          <w:szCs w:val="20"/>
        </w:rPr>
      </w:pPr>
      <w:r>
        <w:rPr>
          <w:rFonts w:ascii="Nunito Sans" w:hAnsi="Nunito Sans"/>
          <w:szCs w:val="20"/>
        </w:rPr>
        <w:t xml:space="preserve">14% were </w:t>
      </w:r>
      <w:r w:rsidR="0040638B">
        <w:rPr>
          <w:rFonts w:ascii="Nunito Sans" w:hAnsi="Nunito Sans"/>
          <w:szCs w:val="20"/>
        </w:rPr>
        <w:t>for people with disability</w:t>
      </w:r>
      <w:r>
        <w:rPr>
          <w:rFonts w:ascii="Nunito Sans" w:hAnsi="Nunito Sans"/>
          <w:szCs w:val="20"/>
        </w:rPr>
        <w:t xml:space="preserve"> experiencing, or at risk of, homelessness</w:t>
      </w:r>
      <w:r w:rsidR="00E6324F">
        <w:rPr>
          <w:rFonts w:ascii="Nunito Sans" w:hAnsi="Nunito Sans"/>
          <w:szCs w:val="20"/>
        </w:rPr>
        <w:t>.</w:t>
      </w:r>
    </w:p>
    <w:p w14:paraId="5C2264FB" w14:textId="6A3CAC98" w:rsidR="00BD2DFC" w:rsidRDefault="00BD2DFC" w:rsidP="00BD2DFC">
      <w:pPr>
        <w:rPr>
          <w:rFonts w:ascii="Nunito Sans" w:hAnsi="Nunito Sans"/>
        </w:rPr>
      </w:pPr>
      <w:r w:rsidRPr="27D82254">
        <w:rPr>
          <w:rFonts w:ascii="Nunito Sans" w:hAnsi="Nunito Sans"/>
        </w:rPr>
        <w:t xml:space="preserve">In addition to </w:t>
      </w:r>
      <w:r w:rsidR="00BE608D" w:rsidRPr="27D82254">
        <w:rPr>
          <w:rFonts w:ascii="Nunito Sans" w:hAnsi="Nunito Sans"/>
        </w:rPr>
        <w:t xml:space="preserve">supporting people </w:t>
      </w:r>
      <w:r w:rsidR="7BF85C87" w:rsidRPr="2A090D71">
        <w:rPr>
          <w:rFonts w:ascii="Nunito Sans" w:hAnsi="Nunito Sans"/>
        </w:rPr>
        <w:t xml:space="preserve">to </w:t>
      </w:r>
      <w:r w:rsidR="00BE608D" w:rsidRPr="2A090D71">
        <w:rPr>
          <w:rFonts w:ascii="Nunito Sans" w:hAnsi="Nunito Sans"/>
        </w:rPr>
        <w:t>navigate</w:t>
      </w:r>
      <w:r w:rsidR="00BE608D" w:rsidRPr="27D82254">
        <w:rPr>
          <w:rFonts w:ascii="Nunito Sans" w:hAnsi="Nunito Sans"/>
        </w:rPr>
        <w:t xml:space="preserve"> complaints, w</w:t>
      </w:r>
      <w:r w:rsidRPr="00BD2DFC">
        <w:rPr>
          <w:rFonts w:ascii="Nunito Sans" w:hAnsi="Nunito Sans"/>
        </w:rPr>
        <w:t>e support people</w:t>
      </w:r>
      <w:r w:rsidRPr="2A090D71">
        <w:rPr>
          <w:rFonts w:ascii="Nunito Sans" w:hAnsi="Nunito Sans"/>
        </w:rPr>
        <w:t xml:space="preserve"> </w:t>
      </w:r>
      <w:r w:rsidR="51C859F3" w:rsidRPr="2A090D71">
        <w:rPr>
          <w:rFonts w:ascii="Nunito Sans" w:hAnsi="Nunito Sans"/>
        </w:rPr>
        <w:t>to</w:t>
      </w:r>
      <w:r w:rsidRPr="00BD2DFC">
        <w:rPr>
          <w:rFonts w:ascii="Nunito Sans" w:hAnsi="Nunito Sans"/>
        </w:rPr>
        <w:t xml:space="preserve"> </w:t>
      </w:r>
      <w:r w:rsidR="00BE608D" w:rsidRPr="27D82254">
        <w:rPr>
          <w:rFonts w:ascii="Nunito Sans" w:hAnsi="Nunito Sans"/>
        </w:rPr>
        <w:t>navigate</w:t>
      </w:r>
      <w:r w:rsidRPr="00BD2DFC">
        <w:rPr>
          <w:rFonts w:ascii="Nunito Sans" w:hAnsi="Nunito Sans"/>
        </w:rPr>
        <w:t xml:space="preserve"> discriminatory systems such as education, housing, employment and health</w:t>
      </w:r>
      <w:r w:rsidR="00BE608D" w:rsidRPr="27D82254">
        <w:rPr>
          <w:rFonts w:ascii="Nunito Sans" w:hAnsi="Nunito Sans"/>
        </w:rPr>
        <w:t xml:space="preserve">. </w:t>
      </w:r>
      <w:r w:rsidRPr="00BD2DFC">
        <w:rPr>
          <w:rFonts w:ascii="Nunito Sans" w:hAnsi="Nunito Sans"/>
        </w:rPr>
        <w:t xml:space="preserve">In our experience, people with disability choose to focus on resolving the issue caused by the </w:t>
      </w:r>
      <w:r w:rsidRPr="00BD2DFC">
        <w:rPr>
          <w:rFonts w:ascii="Nunito Sans" w:hAnsi="Nunito Sans"/>
        </w:rPr>
        <w:lastRenderedPageBreak/>
        <w:t xml:space="preserve">discriminatory act or omission (e.g. </w:t>
      </w:r>
      <w:r w:rsidR="3ADEE0E2" w:rsidRPr="783D8247">
        <w:rPr>
          <w:rFonts w:ascii="Nunito Sans" w:hAnsi="Nunito Sans"/>
        </w:rPr>
        <w:t>s</w:t>
      </w:r>
      <w:r w:rsidRPr="783D8247">
        <w:rPr>
          <w:rFonts w:ascii="Nunito Sans" w:hAnsi="Nunito Sans"/>
        </w:rPr>
        <w:t>tudent</w:t>
      </w:r>
      <w:r w:rsidRPr="00BD2DFC">
        <w:rPr>
          <w:rFonts w:ascii="Nunito Sans" w:hAnsi="Nunito Sans"/>
        </w:rPr>
        <w:t xml:space="preserve"> exclusion or suspension) and not initiate a complaint due to complex and lengthy processes</w:t>
      </w:r>
      <w:r w:rsidR="003F73C6" w:rsidRPr="27D82254">
        <w:rPr>
          <w:rFonts w:ascii="Nunito Sans" w:hAnsi="Nunito Sans"/>
        </w:rPr>
        <w:t xml:space="preserve">. </w:t>
      </w:r>
    </w:p>
    <w:p w14:paraId="02A5B07F" w14:textId="271E210E" w:rsidR="00832F02" w:rsidRDefault="00832F02" w:rsidP="00BD2DFC">
      <w:pPr>
        <w:rPr>
          <w:rFonts w:ascii="Nunito Sans" w:hAnsi="Nunito Sans"/>
          <w:szCs w:val="20"/>
        </w:rPr>
      </w:pPr>
      <w:r w:rsidRPr="00832F02">
        <w:rPr>
          <w:rFonts w:ascii="Nunito Sans" w:hAnsi="Nunito Sans"/>
          <w:szCs w:val="20"/>
        </w:rPr>
        <w:t>The work of QIDAN is grounded in the Convention on the Rights of Persons with Disabilities (the CRPD)</w:t>
      </w:r>
      <w:r w:rsidR="00AA6CCA">
        <w:rPr>
          <w:rFonts w:ascii="Nunito Sans" w:hAnsi="Nunito Sans"/>
          <w:szCs w:val="20"/>
        </w:rPr>
        <w:t xml:space="preserve">, </w:t>
      </w:r>
      <w:r w:rsidRPr="00832F02">
        <w:rPr>
          <w:rFonts w:ascii="Nunito Sans" w:hAnsi="Nunito Sans"/>
          <w:szCs w:val="20"/>
        </w:rPr>
        <w:t>which provides a strong and aspirational model for the protection and advancement of the rights of people with disability.</w:t>
      </w:r>
    </w:p>
    <w:p w14:paraId="36AAE440" w14:textId="45C7F7CE" w:rsidR="003F73C6" w:rsidRDefault="0046001D" w:rsidP="00BD2DFC">
      <w:pPr>
        <w:rPr>
          <w:rFonts w:ascii="Nunito Sans" w:hAnsi="Nunito Sans"/>
          <w:szCs w:val="20"/>
        </w:rPr>
      </w:pPr>
      <w:r>
        <w:rPr>
          <w:rFonts w:ascii="Nunito Sans" w:hAnsi="Nunito Sans"/>
          <w:szCs w:val="20"/>
        </w:rPr>
        <w:t xml:space="preserve">Our response to this review is informed by </w:t>
      </w:r>
      <w:r w:rsidR="00B63F80">
        <w:rPr>
          <w:rFonts w:ascii="Nunito Sans" w:hAnsi="Nunito Sans"/>
          <w:szCs w:val="20"/>
        </w:rPr>
        <w:t>our vision and</w:t>
      </w:r>
      <w:r>
        <w:rPr>
          <w:rFonts w:ascii="Nunito Sans" w:hAnsi="Nunito Sans"/>
          <w:szCs w:val="20"/>
        </w:rPr>
        <w:t xml:space="preserve"> experience and w</w:t>
      </w:r>
      <w:r w:rsidRPr="0046001D">
        <w:rPr>
          <w:rFonts w:ascii="Nunito Sans" w:hAnsi="Nunito Sans"/>
          <w:szCs w:val="20"/>
        </w:rPr>
        <w:t>e hope that our insights can provide unique considerations on how we can work toward a more inclusive</w:t>
      </w:r>
      <w:r>
        <w:rPr>
          <w:rFonts w:ascii="Nunito Sans" w:hAnsi="Nunito Sans"/>
          <w:szCs w:val="20"/>
        </w:rPr>
        <w:t xml:space="preserve"> Queensland</w:t>
      </w:r>
      <w:r w:rsidRPr="0046001D">
        <w:rPr>
          <w:rFonts w:ascii="Nunito Sans" w:hAnsi="Nunito Sans"/>
          <w:szCs w:val="20"/>
        </w:rPr>
        <w:t>, free from discrimination and hate</w:t>
      </w:r>
      <w:r w:rsidR="006C7A0A">
        <w:rPr>
          <w:rFonts w:ascii="Nunito Sans" w:hAnsi="Nunito Sans"/>
          <w:szCs w:val="20"/>
        </w:rPr>
        <w:t>, where we celebrate human rights.</w:t>
      </w:r>
    </w:p>
    <w:p w14:paraId="1BC17A45" w14:textId="77777777" w:rsidR="000323D0" w:rsidRPr="000323D0" w:rsidRDefault="000323D0" w:rsidP="000323D0">
      <w:pPr>
        <w:pStyle w:val="QIDANSubheading"/>
        <w:spacing w:after="0"/>
        <w:rPr>
          <w:sz w:val="24"/>
        </w:rPr>
      </w:pPr>
      <w:r w:rsidRPr="000323D0">
        <w:rPr>
          <w:sz w:val="24"/>
        </w:rPr>
        <w:t xml:space="preserve">A note on language </w:t>
      </w:r>
    </w:p>
    <w:p w14:paraId="687C623C" w14:textId="77777777" w:rsidR="000323D0" w:rsidRDefault="000323D0" w:rsidP="000323D0">
      <w:pPr>
        <w:rPr>
          <w:rFonts w:ascii="Nunito Sans" w:hAnsi="Nunito Sans"/>
          <w:szCs w:val="20"/>
        </w:rPr>
      </w:pPr>
      <w:r w:rsidRPr="00B34885">
        <w:rPr>
          <w:rFonts w:ascii="Nunito Sans" w:hAnsi="Nunito Sans"/>
          <w:szCs w:val="20"/>
        </w:rPr>
        <w:t>Language is a powerful tool for building inclusion. We use person-first language by using the term ‘people with disability’ but recognise that many people with disability prefer identity first language (i.e. a disabled person).</w:t>
      </w:r>
      <w:r>
        <w:rPr>
          <w:rFonts w:ascii="Nunito Sans" w:hAnsi="Nunito Sans"/>
          <w:szCs w:val="20"/>
        </w:rPr>
        <w:t xml:space="preserve"> There are different acronyms used throughout this submission. We refer the </w:t>
      </w:r>
      <w:r w:rsidRPr="00786D14">
        <w:rPr>
          <w:rFonts w:ascii="Nunito Sans" w:hAnsi="Nunito Sans"/>
          <w:i/>
          <w:iCs/>
          <w:szCs w:val="20"/>
        </w:rPr>
        <w:t>Human Rights Act 2019</w:t>
      </w:r>
      <w:r>
        <w:rPr>
          <w:rFonts w:ascii="Nunito Sans" w:hAnsi="Nunito Sans"/>
          <w:szCs w:val="20"/>
        </w:rPr>
        <w:t xml:space="preserve"> (Qld) as the HRA, the </w:t>
      </w:r>
      <w:r w:rsidRPr="00DE3E4F">
        <w:rPr>
          <w:rFonts w:ascii="Nunito Sans" w:hAnsi="Nunito Sans"/>
          <w:i/>
          <w:szCs w:val="20"/>
        </w:rPr>
        <w:t>Anti-Discrimination Act 1991</w:t>
      </w:r>
      <w:r>
        <w:rPr>
          <w:rFonts w:ascii="Nunito Sans" w:hAnsi="Nunito Sans"/>
          <w:szCs w:val="20"/>
        </w:rPr>
        <w:t xml:space="preserve"> (Qld) as the ADA, the Queensland Human Rights Commission as the QHRC and the </w:t>
      </w:r>
      <w:r>
        <w:t>Royal Commission into Violence, Abuse, Neglect and Exploitation of People with Disability as the DRC.</w:t>
      </w:r>
    </w:p>
    <w:p w14:paraId="5B77BE04" w14:textId="77777777" w:rsidR="000323D0" w:rsidRPr="00BD2DFC" w:rsidRDefault="000323D0" w:rsidP="00BD2DFC">
      <w:pPr>
        <w:rPr>
          <w:rFonts w:ascii="Nunito Sans" w:hAnsi="Nunito Sans"/>
          <w:szCs w:val="20"/>
        </w:rPr>
      </w:pPr>
    </w:p>
    <w:p w14:paraId="05447D52" w14:textId="696BD0FE" w:rsidR="004C315D" w:rsidRDefault="004C315D">
      <w:pPr>
        <w:spacing w:after="0" w:line="240" w:lineRule="auto"/>
        <w:rPr>
          <w:rFonts w:ascii="Nunito Sans" w:hAnsi="Nunito Sans"/>
          <w:b/>
          <w:bCs/>
          <w:color w:val="690048"/>
          <w:sz w:val="28"/>
          <w:szCs w:val="20"/>
          <w:lang w:val="en-AU"/>
        </w:rPr>
      </w:pPr>
      <w:r>
        <w:rPr>
          <w:szCs w:val="20"/>
        </w:rPr>
        <w:br w:type="page"/>
      </w:r>
    </w:p>
    <w:p w14:paraId="5981F895" w14:textId="696BD0FE" w:rsidR="003E2F32" w:rsidRPr="00C06B55" w:rsidRDefault="00C06B55" w:rsidP="00CD4D99">
      <w:pPr>
        <w:pStyle w:val="Heading1"/>
      </w:pPr>
      <w:bookmarkStart w:id="3" w:name="_Toc244185247"/>
      <w:r>
        <w:lastRenderedPageBreak/>
        <w:t>I</w:t>
      </w:r>
      <w:r w:rsidR="003E2F32">
        <w:t>ntroduction</w:t>
      </w:r>
      <w:bookmarkEnd w:id="3"/>
    </w:p>
    <w:p w14:paraId="4E4C67E2" w14:textId="4048C96B" w:rsidR="004F4C07" w:rsidRPr="00691065" w:rsidRDefault="004F4C07" w:rsidP="00026342">
      <w:pPr>
        <w:pStyle w:val="QIDANParagraph"/>
        <w:rPr>
          <w:lang w:val="en-GB"/>
        </w:rPr>
      </w:pPr>
      <w:r>
        <w:t xml:space="preserve">QIDAN </w:t>
      </w:r>
      <w:r w:rsidR="00EC4682">
        <w:t xml:space="preserve">welcomes the Queensland’s Government’s commitment to </w:t>
      </w:r>
      <w:r w:rsidR="008653D8">
        <w:t>reviewing</w:t>
      </w:r>
      <w:r w:rsidR="007E1BB5" w:rsidRPr="007E1BB5">
        <w:rPr>
          <w:lang w:val="en-GB"/>
        </w:rPr>
        <w:t xml:space="preserve"> Queensland’s human rights and anti-discrimination framework</w:t>
      </w:r>
      <w:r w:rsidR="008653D8">
        <w:rPr>
          <w:lang w:val="en-GB"/>
        </w:rPr>
        <w:t xml:space="preserve"> to ensure it</w:t>
      </w:r>
      <w:r w:rsidR="007E1BB5" w:rsidRPr="007E1BB5">
        <w:rPr>
          <w:lang w:val="en-GB"/>
        </w:rPr>
        <w:t xml:space="preserve"> is modern, practical and responsive to the needs of the community</w:t>
      </w:r>
      <w:r w:rsidR="008653D8">
        <w:rPr>
          <w:lang w:val="en-GB"/>
        </w:rPr>
        <w:t>, including</w:t>
      </w:r>
      <w:r w:rsidR="00C460FC">
        <w:rPr>
          <w:lang w:val="en-GB"/>
        </w:rPr>
        <w:t xml:space="preserve"> for</w:t>
      </w:r>
      <w:r w:rsidR="008653D8">
        <w:rPr>
          <w:lang w:val="en-GB"/>
        </w:rPr>
        <w:t xml:space="preserve"> </w:t>
      </w:r>
      <w:r w:rsidR="00AE75C3">
        <w:rPr>
          <w:lang w:val="en-GB"/>
        </w:rPr>
        <w:t xml:space="preserve">people with disability. </w:t>
      </w:r>
      <w:r w:rsidR="007E1BB5">
        <w:rPr>
          <w:lang w:val="en-GB"/>
        </w:rPr>
        <w:t xml:space="preserve">We commend the </w:t>
      </w:r>
      <w:r w:rsidR="00227A2C">
        <w:rPr>
          <w:lang w:val="en-GB"/>
        </w:rPr>
        <w:t>Review</w:t>
      </w:r>
      <w:r w:rsidR="007E1BB5">
        <w:rPr>
          <w:lang w:val="en-GB"/>
        </w:rPr>
        <w:t xml:space="preserve"> for its detailed consideration of recent reviews</w:t>
      </w:r>
      <w:r w:rsidR="00D52E40">
        <w:rPr>
          <w:lang w:val="en-GB"/>
        </w:rPr>
        <w:t xml:space="preserve"> and consultations on state and federal human rights and anti-discrimination frameworks</w:t>
      </w:r>
      <w:r w:rsidR="00227A2C">
        <w:rPr>
          <w:lang w:val="en-GB"/>
        </w:rPr>
        <w:t xml:space="preserve">, as set out in the </w:t>
      </w:r>
      <w:hyperlink r:id="rId12" w:history="1">
        <w:r w:rsidR="00227A2C" w:rsidRPr="00653A4F">
          <w:rPr>
            <w:rStyle w:val="Hyperlink"/>
            <w:lang w:val="en-GB"/>
          </w:rPr>
          <w:t>Discussion Paper</w:t>
        </w:r>
      </w:hyperlink>
      <w:r w:rsidR="00D52E40">
        <w:rPr>
          <w:lang w:val="en-GB"/>
        </w:rPr>
        <w:t>.</w:t>
      </w:r>
    </w:p>
    <w:p w14:paraId="2E04FF7D" w14:textId="762D86F5" w:rsidR="00695A36" w:rsidRDefault="00C96F7C" w:rsidP="00026342">
      <w:pPr>
        <w:pStyle w:val="QIDANParagraph"/>
      </w:pPr>
      <w:r>
        <w:t xml:space="preserve">QIDAN </w:t>
      </w:r>
      <w:r w:rsidR="00972B4D">
        <w:t>ha</w:t>
      </w:r>
      <w:r w:rsidR="00442B0E">
        <w:t>s</w:t>
      </w:r>
      <w:r w:rsidR="00972B4D">
        <w:t xml:space="preserve"> participated in several</w:t>
      </w:r>
      <w:r w:rsidR="00D52E40">
        <w:t xml:space="preserve"> of these</w:t>
      </w:r>
      <w:r w:rsidR="00972B4D">
        <w:t xml:space="preserve"> recent consultations</w:t>
      </w:r>
      <w:r w:rsidR="00ED7732">
        <w:t xml:space="preserve">, including </w:t>
      </w:r>
      <w:r w:rsidR="00FB5A28">
        <w:t xml:space="preserve">the </w:t>
      </w:r>
      <w:r w:rsidR="0035550C">
        <w:t xml:space="preserve">federal </w:t>
      </w:r>
      <w:hyperlink r:id="rId13">
        <w:r w:rsidR="0035550C" w:rsidRPr="663B5184">
          <w:rPr>
            <w:rStyle w:val="Hyperlink"/>
            <w:i/>
            <w:iCs/>
          </w:rPr>
          <w:t>Disability Discrimination Act</w:t>
        </w:r>
        <w:r w:rsidR="0051276D" w:rsidRPr="663B5184">
          <w:rPr>
            <w:rStyle w:val="Hyperlink"/>
            <w:i/>
            <w:iCs/>
          </w:rPr>
          <w:t xml:space="preserve"> 1992</w:t>
        </w:r>
      </w:hyperlink>
      <w:r w:rsidR="0035550C" w:rsidRPr="663B5184">
        <w:rPr>
          <w:i/>
          <w:iCs/>
        </w:rPr>
        <w:t xml:space="preserve"> </w:t>
      </w:r>
      <w:r w:rsidR="0035550C" w:rsidRPr="0075019B">
        <w:t>(</w:t>
      </w:r>
      <w:r w:rsidR="00A109DF">
        <w:t>2025</w:t>
      </w:r>
      <w:r w:rsidR="0075019B">
        <w:t>)</w:t>
      </w:r>
      <w:r w:rsidR="00096DD1">
        <w:t>,</w:t>
      </w:r>
      <w:r w:rsidR="000C7313">
        <w:t xml:space="preserve"> </w:t>
      </w:r>
      <w:r w:rsidR="00AA4B67">
        <w:t xml:space="preserve">Queensland’s </w:t>
      </w:r>
      <w:hyperlink r:id="rId14">
        <w:r w:rsidR="00AA4B67" w:rsidRPr="663B5184">
          <w:rPr>
            <w:rStyle w:val="Hyperlink"/>
          </w:rPr>
          <w:t>Draft Anti-Discrimination Bill</w:t>
        </w:r>
      </w:hyperlink>
      <w:r w:rsidR="00AA4B67">
        <w:t xml:space="preserve"> (2024)</w:t>
      </w:r>
      <w:r w:rsidR="0035550C">
        <w:t xml:space="preserve">, </w:t>
      </w:r>
      <w:r w:rsidR="003E124D">
        <w:t xml:space="preserve">and </w:t>
      </w:r>
      <w:r w:rsidR="0035550C">
        <w:t xml:space="preserve">Professor Harris Rimmer’s review of the </w:t>
      </w:r>
      <w:r w:rsidR="0051276D">
        <w:t>HRA</w:t>
      </w:r>
      <w:r w:rsidR="0035550C">
        <w:t xml:space="preserve"> (</w:t>
      </w:r>
      <w:r w:rsidR="001F2786">
        <w:t>2024</w:t>
      </w:r>
      <w:r w:rsidR="003050B2">
        <w:t>)</w:t>
      </w:r>
      <w:r w:rsidR="00AB2D8E">
        <w:t>.</w:t>
      </w:r>
      <w:r w:rsidR="0051276D">
        <w:t xml:space="preserve"> </w:t>
      </w:r>
      <w:r w:rsidR="006E777D">
        <w:t>QIDAN remains disappointed that</w:t>
      </w:r>
      <w:r w:rsidR="009C2F23">
        <w:t xml:space="preserve"> </w:t>
      </w:r>
      <w:r w:rsidR="00ED7732">
        <w:t xml:space="preserve">the </w:t>
      </w:r>
      <w:r w:rsidR="00833C12">
        <w:t>c</w:t>
      </w:r>
      <w:r w:rsidR="00B9195B">
        <w:t>hanges</w:t>
      </w:r>
      <w:r w:rsidR="00ED7732">
        <w:t xml:space="preserve"> which were recommended</w:t>
      </w:r>
      <w:r w:rsidR="00B9195B">
        <w:t xml:space="preserve"> </w:t>
      </w:r>
      <w:r w:rsidR="00111039">
        <w:t xml:space="preserve">to strengthen </w:t>
      </w:r>
      <w:r w:rsidR="00DD58BF">
        <w:t>these</w:t>
      </w:r>
      <w:r w:rsidR="00111039">
        <w:t xml:space="preserve"> frameworks, including for people with disability, </w:t>
      </w:r>
      <w:r w:rsidR="00A14E4F">
        <w:t xml:space="preserve">have not </w:t>
      </w:r>
      <w:r w:rsidR="00E838A8">
        <w:t xml:space="preserve">yet </w:t>
      </w:r>
      <w:r w:rsidR="00A14E4F">
        <w:t>been enacted despite extensive consultation and broad community support</w:t>
      </w:r>
      <w:r w:rsidR="003050B2">
        <w:t xml:space="preserve"> – </w:t>
      </w:r>
      <w:r w:rsidR="00870295">
        <w:t xml:space="preserve">particularly </w:t>
      </w:r>
      <w:r w:rsidR="00FF0903">
        <w:t>given the ongoing high numbers of complaints about disability discrimination</w:t>
      </w:r>
      <w:r w:rsidR="003B6CB4">
        <w:t>.</w:t>
      </w:r>
      <w:r w:rsidR="0009098E">
        <w:rPr>
          <w:rStyle w:val="FootnoteReference"/>
        </w:rPr>
        <w:footnoteReference w:id="2"/>
      </w:r>
      <w:r w:rsidR="00386740">
        <w:t xml:space="preserve"> </w:t>
      </w:r>
      <w:r w:rsidR="008068BB">
        <w:t>Many of our recommendations in this submission relate to t</w:t>
      </w:r>
      <w:r w:rsidR="000D5D61">
        <w:t>he changes to the ADA canvassed in Section C of the Discussion Paper</w:t>
      </w:r>
      <w:r w:rsidR="008068BB">
        <w:t>, which</w:t>
      </w:r>
      <w:r w:rsidR="000D5D61">
        <w:t xml:space="preserve"> have </w:t>
      </w:r>
      <w:r w:rsidR="008068BB">
        <w:t xml:space="preserve">already </w:t>
      </w:r>
      <w:r w:rsidR="000D5D61">
        <w:t xml:space="preserve">been extensively consulted on </w:t>
      </w:r>
      <w:r w:rsidR="00985DA4">
        <w:t xml:space="preserve">through multiple parliamentary and QHRC inquiries and have </w:t>
      </w:r>
      <w:r w:rsidR="005D09DF">
        <w:t xml:space="preserve">been debated and passed by Queensland Parliament. </w:t>
      </w:r>
      <w:r w:rsidR="00123F54">
        <w:t xml:space="preserve">Further consultation on these is </w:t>
      </w:r>
      <w:r w:rsidR="00E539AE">
        <w:t>unnecessary and unwarranted</w:t>
      </w:r>
      <w:r w:rsidR="007F03F9">
        <w:t xml:space="preserve">; Parliament simply needs to enact the </w:t>
      </w:r>
      <w:r w:rsidR="00E539AE">
        <w:t>amendments</w:t>
      </w:r>
      <w:r w:rsidR="007F03F9">
        <w:t xml:space="preserve"> they have already passed into law</w:t>
      </w:r>
      <w:r w:rsidR="008068BB">
        <w:t>.</w:t>
      </w:r>
      <w:r w:rsidR="00985DA4">
        <w:t xml:space="preserve"> </w:t>
      </w:r>
      <w:r w:rsidR="000D5D61">
        <w:t xml:space="preserve"> </w:t>
      </w:r>
    </w:p>
    <w:p w14:paraId="40B0EC96" w14:textId="71C45549" w:rsidR="00246A7C" w:rsidRDefault="006B02ED" w:rsidP="00026342">
      <w:pPr>
        <w:pStyle w:val="QIDANParagraph"/>
      </w:pPr>
      <w:r>
        <w:t>W</w:t>
      </w:r>
      <w:r w:rsidR="00246A7C">
        <w:t xml:space="preserve">e </w:t>
      </w:r>
      <w:r w:rsidR="00F434F0">
        <w:t xml:space="preserve">are </w:t>
      </w:r>
      <w:r>
        <w:t xml:space="preserve">also </w:t>
      </w:r>
      <w:r w:rsidR="00F434F0">
        <w:t xml:space="preserve">disheartened to </w:t>
      </w:r>
      <w:r w:rsidR="002904C2">
        <w:t xml:space="preserve">see </w:t>
      </w:r>
      <w:r w:rsidR="00FD24F9">
        <w:t xml:space="preserve">no consideration of the findings from the Disability Royal Commission into Violence, Abuse Neglect and Exploitation of People with Disability </w:t>
      </w:r>
      <w:r w:rsidR="0076710E">
        <w:t xml:space="preserve">(the DRC) </w:t>
      </w:r>
      <w:r w:rsidR="00FD24F9">
        <w:t>Final Report</w:t>
      </w:r>
      <w:r w:rsidR="00845546">
        <w:t xml:space="preserve">, given their relevance to this Review and </w:t>
      </w:r>
      <w:r w:rsidR="001C5DDE">
        <w:t>their alignment with recommendations made by the previous consultations on human rights and anti-discrimination frameworks</w:t>
      </w:r>
      <w:r w:rsidR="00FD24F9">
        <w:t>.</w:t>
      </w:r>
      <w:r w:rsidR="001C5DDE">
        <w:t xml:space="preserve"> </w:t>
      </w:r>
      <w:r w:rsidR="006D2A8D">
        <w:t xml:space="preserve">The DRC </w:t>
      </w:r>
      <w:r w:rsidR="00C315A8">
        <w:t>was one of the largest public inquiries in Australia’s history and heard from almost 10,000 people, including 4</w:t>
      </w:r>
      <w:r w:rsidR="00A1556E">
        <w:t>,</w:t>
      </w:r>
      <w:r w:rsidR="00C315A8">
        <w:t xml:space="preserve">500 people with disability, across </w:t>
      </w:r>
      <w:r w:rsidR="00985CCE">
        <w:t>Australia</w:t>
      </w:r>
      <w:r w:rsidR="005C62C8">
        <w:t xml:space="preserve"> over 4 years of consultation</w:t>
      </w:r>
      <w:r w:rsidR="00985CCE">
        <w:t xml:space="preserve">. </w:t>
      </w:r>
      <w:r w:rsidR="003F7749">
        <w:t xml:space="preserve">Of particular relevance is Volume 4 of the </w:t>
      </w:r>
      <w:r w:rsidR="003F7749">
        <w:lastRenderedPageBreak/>
        <w:t>DRC’s Final Report and its re</w:t>
      </w:r>
      <w:r w:rsidR="001C5DDE">
        <w:t xml:space="preserve">commendations </w:t>
      </w:r>
      <w:r w:rsidR="003F7749">
        <w:t>aimed at strengthening disability discrimination laws and human rights protections</w:t>
      </w:r>
      <w:r w:rsidR="009F6387">
        <w:t xml:space="preserve"> </w:t>
      </w:r>
      <w:r w:rsidR="00E616E9">
        <w:t xml:space="preserve">through expanded vilification coverage, the introduction of a positive duty, and simplification of </w:t>
      </w:r>
      <w:r w:rsidR="00274BDE">
        <w:t>discrimination law and definitions</w:t>
      </w:r>
      <w:r w:rsidR="00C414DB">
        <w:t>.</w:t>
      </w:r>
      <w:r w:rsidR="00985CCE">
        <w:t xml:space="preserve"> QIDAN strongly recommends the Review consider the recommendations</w:t>
      </w:r>
      <w:r w:rsidR="003637ED">
        <w:t xml:space="preserve"> it contains</w:t>
      </w:r>
      <w:r w:rsidR="006D2A8D">
        <w:t xml:space="preserve">. </w:t>
      </w:r>
    </w:p>
    <w:p w14:paraId="5C4E6F56" w14:textId="189F3AF0" w:rsidR="00F44C61" w:rsidRDefault="00963F54" w:rsidP="00026342">
      <w:pPr>
        <w:pStyle w:val="QIDANParagraph"/>
      </w:pPr>
      <w:r>
        <w:rPr>
          <w:rFonts w:eastAsiaTheme="majorEastAsia"/>
        </w:rPr>
        <w:t xml:space="preserve">QIDAN notes that the preliminary views expressed in the Discussion Paper </w:t>
      </w:r>
      <w:r w:rsidR="009C6C31">
        <w:rPr>
          <w:rFonts w:eastAsiaTheme="majorEastAsia"/>
        </w:rPr>
        <w:t xml:space="preserve">propose repealing </w:t>
      </w:r>
      <w:r w:rsidR="00761706">
        <w:rPr>
          <w:rFonts w:eastAsiaTheme="majorEastAsia"/>
        </w:rPr>
        <w:t>certain</w:t>
      </w:r>
      <w:r w:rsidR="009C6C31">
        <w:rPr>
          <w:rFonts w:eastAsiaTheme="majorEastAsia"/>
        </w:rPr>
        <w:t xml:space="preserve"> sections of the </w:t>
      </w:r>
      <w:r w:rsidR="001E1A6D">
        <w:rPr>
          <w:rFonts w:eastAsiaTheme="majorEastAsia"/>
        </w:rPr>
        <w:t xml:space="preserve">HRA </w:t>
      </w:r>
      <w:r w:rsidR="009C6C31">
        <w:rPr>
          <w:rFonts w:eastAsiaTheme="majorEastAsia"/>
        </w:rPr>
        <w:t xml:space="preserve">relating to the obligations of public entities and the operation of the </w:t>
      </w:r>
      <w:r w:rsidR="00AB1A9F">
        <w:rPr>
          <w:rFonts w:eastAsiaTheme="majorEastAsia"/>
        </w:rPr>
        <w:t>HRA</w:t>
      </w:r>
      <w:r w:rsidR="009C6C31">
        <w:rPr>
          <w:rFonts w:eastAsiaTheme="majorEastAsia"/>
        </w:rPr>
        <w:t xml:space="preserve"> outside courts and tribunals. </w:t>
      </w:r>
      <w:r w:rsidR="005F414F">
        <w:rPr>
          <w:rFonts w:eastAsiaTheme="majorEastAsia"/>
        </w:rPr>
        <w:t>The HRA</w:t>
      </w:r>
      <w:r w:rsidR="00EC208D">
        <w:rPr>
          <w:rFonts w:eastAsiaTheme="majorEastAsia"/>
        </w:rPr>
        <w:t xml:space="preserve"> became fully operational in </w:t>
      </w:r>
      <w:r w:rsidR="00F979EA">
        <w:rPr>
          <w:rFonts w:eastAsiaTheme="majorEastAsia"/>
        </w:rPr>
        <w:t>2020</w:t>
      </w:r>
      <w:r w:rsidR="0004156D">
        <w:rPr>
          <w:rFonts w:eastAsiaTheme="majorEastAsia"/>
        </w:rPr>
        <w:t xml:space="preserve"> </w:t>
      </w:r>
      <w:r w:rsidR="00485E99">
        <w:rPr>
          <w:rFonts w:eastAsiaTheme="majorEastAsia"/>
        </w:rPr>
        <w:t xml:space="preserve">and its objectives are focussed </w:t>
      </w:r>
      <w:r w:rsidR="005F414F">
        <w:rPr>
          <w:rFonts w:eastAsiaTheme="majorEastAsia"/>
        </w:rPr>
        <w:t>not on legal causes of action but on building a culture of human rights</w:t>
      </w:r>
      <w:r w:rsidR="00053DE6">
        <w:rPr>
          <w:rFonts w:eastAsiaTheme="majorEastAsia"/>
        </w:rPr>
        <w:t>. I</w:t>
      </w:r>
      <w:r w:rsidR="003226A4">
        <w:rPr>
          <w:rFonts w:eastAsiaTheme="majorEastAsia"/>
        </w:rPr>
        <w:t>n</w:t>
      </w:r>
      <w:r w:rsidR="00C063CF">
        <w:rPr>
          <w:rFonts w:eastAsiaTheme="majorEastAsia"/>
        </w:rPr>
        <w:t xml:space="preserve"> QIDAN’s view, </w:t>
      </w:r>
      <w:r w:rsidR="003226A4">
        <w:rPr>
          <w:rFonts w:eastAsiaTheme="majorEastAsia"/>
        </w:rPr>
        <w:t>this cannot be achieved in</w:t>
      </w:r>
      <w:r w:rsidR="00053DE6">
        <w:rPr>
          <w:rFonts w:eastAsiaTheme="majorEastAsia"/>
        </w:rPr>
        <w:t xml:space="preserve"> the six years since </w:t>
      </w:r>
      <w:r w:rsidR="00485E99">
        <w:rPr>
          <w:rFonts w:eastAsiaTheme="majorEastAsia"/>
        </w:rPr>
        <w:t xml:space="preserve">the Act’s </w:t>
      </w:r>
      <w:r w:rsidR="00410AFA">
        <w:rPr>
          <w:rFonts w:eastAsiaTheme="majorEastAsia"/>
        </w:rPr>
        <w:t xml:space="preserve">commencement and that therefore </w:t>
      </w:r>
      <w:r w:rsidR="00C063CF">
        <w:rPr>
          <w:rFonts w:eastAsiaTheme="majorEastAsia"/>
        </w:rPr>
        <w:t>the benefits of the HRA in improving public sector decision-making and service delivery should be given</w:t>
      </w:r>
      <w:r w:rsidR="004F4C07">
        <w:rPr>
          <w:rFonts w:eastAsiaTheme="majorEastAsia"/>
        </w:rPr>
        <w:t xml:space="preserve"> more</w:t>
      </w:r>
      <w:r w:rsidR="00C063CF">
        <w:rPr>
          <w:rFonts w:eastAsiaTheme="majorEastAsia"/>
        </w:rPr>
        <w:t xml:space="preserve"> time to develop. </w:t>
      </w:r>
      <w:r w:rsidR="003D1708">
        <w:rPr>
          <w:rFonts w:eastAsiaTheme="majorEastAsia"/>
        </w:rPr>
        <w:t>Real caution must be exercised in considering repealing these provisions as they currently act as a safeguard again</w:t>
      </w:r>
      <w:r w:rsidR="003456CF">
        <w:rPr>
          <w:rFonts w:eastAsiaTheme="majorEastAsia"/>
        </w:rPr>
        <w:t>st issues becoming matters for litigation</w:t>
      </w:r>
      <w:r w:rsidR="004D02EB">
        <w:rPr>
          <w:rFonts w:eastAsiaTheme="majorEastAsia"/>
        </w:rPr>
        <w:t xml:space="preserve"> by</w:t>
      </w:r>
      <w:r w:rsidR="003456CF">
        <w:rPr>
          <w:rFonts w:eastAsiaTheme="majorEastAsia"/>
        </w:rPr>
        <w:t xml:space="preserve"> focusing on resolution at the local level.</w:t>
      </w:r>
      <w:r w:rsidR="00563123">
        <w:rPr>
          <w:rFonts w:eastAsiaTheme="majorEastAsia"/>
        </w:rPr>
        <w:t xml:space="preserve"> </w:t>
      </w:r>
      <w:r w:rsidR="00034B48">
        <w:rPr>
          <w:rFonts w:eastAsiaTheme="majorEastAsia"/>
        </w:rPr>
        <w:t xml:space="preserve">QIDAN’s position is that obligations for public entities under the </w:t>
      </w:r>
      <w:r w:rsidR="0031494A">
        <w:rPr>
          <w:rFonts w:eastAsiaTheme="majorEastAsia"/>
        </w:rPr>
        <w:t>HRA</w:t>
      </w:r>
      <w:r w:rsidR="00034B48">
        <w:rPr>
          <w:rFonts w:eastAsiaTheme="majorEastAsia"/>
        </w:rPr>
        <w:t xml:space="preserve"> should be </w:t>
      </w:r>
      <w:r w:rsidR="00795052">
        <w:rPr>
          <w:rFonts w:eastAsiaTheme="majorEastAsia"/>
        </w:rPr>
        <w:t>strengthened</w:t>
      </w:r>
      <w:r w:rsidR="00034B48">
        <w:rPr>
          <w:rFonts w:eastAsiaTheme="majorEastAsia"/>
        </w:rPr>
        <w:t xml:space="preserve">, rather than repealed, for the legislation to be given the best chance of achieving </w:t>
      </w:r>
      <w:r w:rsidR="00E060E8">
        <w:rPr>
          <w:rFonts w:eastAsiaTheme="majorEastAsia"/>
        </w:rPr>
        <w:t>its objects</w:t>
      </w:r>
      <w:r w:rsidR="00034B48">
        <w:rPr>
          <w:rFonts w:eastAsiaTheme="majorEastAsia"/>
        </w:rPr>
        <w:t xml:space="preserve">. </w:t>
      </w:r>
    </w:p>
    <w:p w14:paraId="61533128" w14:textId="77777777" w:rsidR="00691065" w:rsidRPr="00DA7292" w:rsidRDefault="00691065" w:rsidP="00CD4D99">
      <w:pPr>
        <w:pStyle w:val="Heading1"/>
      </w:pPr>
      <w:bookmarkStart w:id="4" w:name="_Toc244185125"/>
      <w:bookmarkStart w:id="5" w:name="_Toc244185248"/>
      <w:r w:rsidRPr="00DA7292">
        <w:t>The language of the ADA must be clear and inclusive</w:t>
      </w:r>
      <w:bookmarkEnd w:id="4"/>
      <w:bookmarkEnd w:id="5"/>
    </w:p>
    <w:p w14:paraId="5A629A4A" w14:textId="7EE086BC" w:rsidR="00B24067" w:rsidRDefault="00B24067" w:rsidP="00691065">
      <w:pPr>
        <w:rPr>
          <w:rFonts w:eastAsiaTheme="majorEastAsia"/>
        </w:rPr>
      </w:pPr>
      <w:r w:rsidRPr="00B24067">
        <w:rPr>
          <w:rFonts w:eastAsiaTheme="majorEastAsia"/>
        </w:rPr>
        <w:t>The CRPD</w:t>
      </w:r>
      <w:r w:rsidR="00DD6104">
        <w:rPr>
          <w:rFonts w:eastAsiaTheme="majorEastAsia"/>
        </w:rPr>
        <w:t>, ratified by Australia</w:t>
      </w:r>
      <w:r w:rsidR="00AB2BE2">
        <w:rPr>
          <w:rFonts w:eastAsiaTheme="majorEastAsia"/>
        </w:rPr>
        <w:t xml:space="preserve"> and referenced in the ADA preamble,</w:t>
      </w:r>
      <w:r w:rsidRPr="00B24067">
        <w:rPr>
          <w:rFonts w:eastAsiaTheme="majorEastAsia"/>
        </w:rPr>
        <w:t xml:space="preserve"> creates a blueprint for a progressive social model of disability, defining discrimination on the basis of disability in terms of the interaction between a person’s impairment and their environment. There is an important distinction to be made between the terminology “impairment” and “disability”. Impairment attributes the focus of the limitations on the person and fails to acknowledge the importance of external barriers. In contrast, disability is used in the CRPD as an evolving concept, which recognises that disability results from the interaction between persons with impairments and attitudinal and environmental barriers that hinder their full and effective participation in society on an equal basis with others.</w:t>
      </w:r>
      <w:r w:rsidR="0059041E">
        <w:rPr>
          <w:rStyle w:val="FootnoteReference"/>
          <w:rFonts w:eastAsiaTheme="majorEastAsia"/>
        </w:rPr>
        <w:footnoteReference w:id="3"/>
      </w:r>
      <w:r w:rsidRPr="00B24067">
        <w:rPr>
          <w:rFonts w:eastAsiaTheme="majorEastAsia"/>
        </w:rPr>
        <w:t xml:space="preserve"> People with </w:t>
      </w:r>
      <w:r w:rsidRPr="00B24067">
        <w:rPr>
          <w:rFonts w:eastAsiaTheme="majorEastAsia"/>
        </w:rPr>
        <w:lastRenderedPageBreak/>
        <w:t>disability enrich our society by bringing diversity to our communities, however they become disabled because society is not built for them.</w:t>
      </w:r>
      <w:r w:rsidR="001050BB">
        <w:rPr>
          <w:rFonts w:eastAsiaTheme="majorEastAsia"/>
        </w:rPr>
        <w:t xml:space="preserve"> </w:t>
      </w:r>
    </w:p>
    <w:p w14:paraId="4F91B3AE" w14:textId="352B54D7" w:rsidR="00691065" w:rsidRDefault="00691065" w:rsidP="00691065">
      <w:pPr>
        <w:rPr>
          <w:rFonts w:eastAsiaTheme="majorEastAsia"/>
        </w:rPr>
      </w:pPr>
      <w:r>
        <w:rPr>
          <w:rFonts w:eastAsiaTheme="majorEastAsia"/>
        </w:rPr>
        <w:t xml:space="preserve">The Building Belonging report recommended updating the terminology of the ADA to refer to ‘disability’ rather than ‘impairment’. This recommendation was based on feedback from disability advocates and communities, including QIDAN members, and would: </w:t>
      </w:r>
    </w:p>
    <w:p w14:paraId="23A7067C" w14:textId="5ED52CB2" w:rsidR="00691065" w:rsidRPr="00BD27B7" w:rsidRDefault="00691065" w:rsidP="00691065">
      <w:pPr>
        <w:pStyle w:val="ListParagraph"/>
        <w:numPr>
          <w:ilvl w:val="0"/>
          <w:numId w:val="10"/>
        </w:numPr>
        <w:rPr>
          <w:rFonts w:eastAsiaTheme="majorEastAsia"/>
        </w:rPr>
      </w:pPr>
      <w:r>
        <w:rPr>
          <w:rFonts w:eastAsiaTheme="majorEastAsia"/>
        </w:rPr>
        <w:t>a</w:t>
      </w:r>
      <w:r w:rsidRPr="00BD27B7">
        <w:rPr>
          <w:rFonts w:eastAsiaTheme="majorEastAsia"/>
        </w:rPr>
        <w:t xml:space="preserve">lign </w:t>
      </w:r>
      <w:r>
        <w:rPr>
          <w:rFonts w:eastAsiaTheme="majorEastAsia"/>
        </w:rPr>
        <w:t>Queensland law</w:t>
      </w:r>
      <w:r w:rsidRPr="00BD27B7">
        <w:rPr>
          <w:rFonts w:eastAsiaTheme="majorEastAsia"/>
        </w:rPr>
        <w:t xml:space="preserve"> with most other Australian jurisdictions including the Commonwealth Disability Discrimination Act</w:t>
      </w:r>
      <w:r>
        <w:rPr>
          <w:rFonts w:eastAsiaTheme="majorEastAsia"/>
        </w:rPr>
        <w:t>, as noted by the Discussion Paper</w:t>
      </w:r>
    </w:p>
    <w:p w14:paraId="59B08894" w14:textId="77777777" w:rsidR="00691065" w:rsidRPr="00BD27B7" w:rsidRDefault="00691065" w:rsidP="00691065">
      <w:pPr>
        <w:pStyle w:val="ListParagraph"/>
        <w:numPr>
          <w:ilvl w:val="0"/>
          <w:numId w:val="10"/>
        </w:numPr>
        <w:rPr>
          <w:rFonts w:eastAsiaTheme="majorEastAsia"/>
        </w:rPr>
      </w:pPr>
      <w:r>
        <w:rPr>
          <w:rFonts w:eastAsiaTheme="majorEastAsia"/>
        </w:rPr>
        <w:t>r</w:t>
      </w:r>
      <w:r w:rsidRPr="00BD27B7">
        <w:rPr>
          <w:rFonts w:eastAsiaTheme="majorEastAsia"/>
        </w:rPr>
        <w:t>ecognise that disadvantage results from the interaction between people with disability and the barriers which prevent their full and equal participation in society, rather than an inherent limitation or deficit of the person themselves</w:t>
      </w:r>
    </w:p>
    <w:p w14:paraId="6474852F" w14:textId="77777777" w:rsidR="00691065" w:rsidRDefault="00691065" w:rsidP="00691065">
      <w:pPr>
        <w:pStyle w:val="ListParagraph"/>
        <w:numPr>
          <w:ilvl w:val="0"/>
          <w:numId w:val="10"/>
        </w:numPr>
        <w:rPr>
          <w:rFonts w:eastAsiaTheme="majorEastAsia"/>
        </w:rPr>
      </w:pPr>
      <w:r>
        <w:rPr>
          <w:rFonts w:eastAsiaTheme="majorEastAsia"/>
        </w:rPr>
        <w:t>b</w:t>
      </w:r>
      <w:r w:rsidRPr="00BD27B7">
        <w:rPr>
          <w:rFonts w:eastAsiaTheme="majorEastAsia"/>
        </w:rPr>
        <w:t xml:space="preserve">e more inclusive of neurodiversity. </w:t>
      </w:r>
    </w:p>
    <w:p w14:paraId="652639BC" w14:textId="09EE99D6" w:rsidR="00691065" w:rsidRDefault="00691065" w:rsidP="00691065">
      <w:pPr>
        <w:rPr>
          <w:rFonts w:eastAsiaTheme="majorEastAsia"/>
        </w:rPr>
      </w:pPr>
      <w:r>
        <w:rPr>
          <w:rFonts w:eastAsiaTheme="majorEastAsia"/>
        </w:rPr>
        <w:t>This recommendation was actioned in the Draft Anti-Discrimination Bill 2024 but abandoned in the Respect at Work reforms. The Review’s preliminary position is that ‘</w:t>
      </w:r>
      <w:r w:rsidRPr="008F3637">
        <w:rPr>
          <w:rFonts w:eastAsiaTheme="majorEastAsia"/>
        </w:rPr>
        <w:t>the gaps in protection identified in the Building Belonging Report have been filled or, to the extent any remain, are not significant</w:t>
      </w:r>
      <w:r>
        <w:rPr>
          <w:rFonts w:eastAsiaTheme="majorEastAsia"/>
        </w:rPr>
        <w:t xml:space="preserve">’. QIDAN respectfully disagrees with this position. The proposed terminology update was in part aimed at closing the gap in protection for people using assistance animals and to remove any doubt that people with addiction are covered by this attribute. These gaps still remain. </w:t>
      </w:r>
    </w:p>
    <w:p w14:paraId="0681BD16" w14:textId="7C10F033" w:rsidR="00691065" w:rsidRDefault="00691065" w:rsidP="00691065">
      <w:pPr>
        <w:rPr>
          <w:rFonts w:eastAsiaTheme="majorEastAsia"/>
        </w:rPr>
      </w:pPr>
      <w:r>
        <w:rPr>
          <w:rFonts w:eastAsiaTheme="majorEastAsia"/>
        </w:rPr>
        <w:t>In addition, these changes were intended to move away from deficit-based framing to one which recognises that barriers to participation are caused by attitudinal and environmental obstruction rather than an inherent limitation held by a person with disability themselves. In line with the Building Belonging Report and the Draft Anti-Discrimination Bill 2024, QIDAN</w:t>
      </w:r>
      <w:r w:rsidR="009C5FB5">
        <w:rPr>
          <w:rFonts w:eastAsiaTheme="majorEastAsia"/>
        </w:rPr>
        <w:t xml:space="preserve"> </w:t>
      </w:r>
      <w:r>
        <w:rPr>
          <w:rFonts w:eastAsiaTheme="majorEastAsia"/>
        </w:rPr>
        <w:t xml:space="preserve">supports replacing </w:t>
      </w:r>
      <w:r w:rsidR="00274BB9">
        <w:rPr>
          <w:rFonts w:eastAsiaTheme="majorEastAsia"/>
        </w:rPr>
        <w:t xml:space="preserve">the term </w:t>
      </w:r>
      <w:r>
        <w:rPr>
          <w:rFonts w:eastAsiaTheme="majorEastAsia"/>
        </w:rPr>
        <w:t>‘impairment’ with ‘disability’</w:t>
      </w:r>
      <w:r w:rsidR="00D302FF">
        <w:rPr>
          <w:rFonts w:eastAsiaTheme="majorEastAsia"/>
        </w:rPr>
        <w:t>, with a further suggestion to use the current definition of disability</w:t>
      </w:r>
      <w:r>
        <w:rPr>
          <w:rFonts w:eastAsiaTheme="majorEastAsia"/>
        </w:rPr>
        <w:t xml:space="preserve"> </w:t>
      </w:r>
      <w:r w:rsidR="004E187E">
        <w:rPr>
          <w:rFonts w:eastAsiaTheme="majorEastAsia"/>
        </w:rPr>
        <w:t xml:space="preserve">in the </w:t>
      </w:r>
      <w:r w:rsidR="004E187E" w:rsidRPr="00C27159">
        <w:rPr>
          <w:rFonts w:eastAsiaTheme="majorEastAsia"/>
          <w:i/>
          <w:iCs/>
        </w:rPr>
        <w:t xml:space="preserve">Disability Inclusion Act 2024 </w:t>
      </w:r>
      <w:r w:rsidR="004E187E" w:rsidRPr="00C27159">
        <w:rPr>
          <w:rFonts w:eastAsiaTheme="majorEastAsia"/>
        </w:rPr>
        <w:t>(ACT)</w:t>
      </w:r>
      <w:r w:rsidR="00C27159">
        <w:rPr>
          <w:rFonts w:eastAsiaTheme="majorEastAsia"/>
        </w:rPr>
        <w:t>.</w:t>
      </w:r>
    </w:p>
    <w:p w14:paraId="4564E158" w14:textId="7F115E5A" w:rsidR="00E65E73" w:rsidRPr="002432F7" w:rsidRDefault="003A5EC4" w:rsidP="00CD4D99">
      <w:pPr>
        <w:pStyle w:val="Heading1"/>
      </w:pPr>
      <w:bookmarkStart w:id="6" w:name="_Toc244185249"/>
      <w:r w:rsidRPr="0010361C">
        <w:t xml:space="preserve">The complaints process must be </w:t>
      </w:r>
      <w:r w:rsidR="00EF16F1" w:rsidRPr="0010361C">
        <w:t>accessible for everyone</w:t>
      </w:r>
      <w:bookmarkEnd w:id="6"/>
      <w:r w:rsidR="00EF16F1" w:rsidRPr="0010361C">
        <w:t xml:space="preserve"> </w:t>
      </w:r>
    </w:p>
    <w:p w14:paraId="0286C5E0" w14:textId="16D5964D" w:rsidR="0068142D" w:rsidRDefault="0068142D" w:rsidP="0068142D">
      <w:r>
        <w:t>This section responds to questions A2, A4</w:t>
      </w:r>
      <w:r w:rsidR="00DA1E4E">
        <w:t>,</w:t>
      </w:r>
      <w:r w:rsidR="005A7D9B">
        <w:t xml:space="preserve"> A</w:t>
      </w:r>
      <w:r w:rsidR="006F73B6">
        <w:t>8</w:t>
      </w:r>
      <w:r w:rsidR="00D57712">
        <w:t>, A18</w:t>
      </w:r>
      <w:r>
        <w:t xml:space="preserve"> </w:t>
      </w:r>
      <w:r w:rsidR="005A7D9B">
        <w:t xml:space="preserve">and </w:t>
      </w:r>
      <w:r w:rsidR="00DA1E4E">
        <w:t>A29</w:t>
      </w:r>
      <w:r w:rsidR="006F73B6">
        <w:t xml:space="preserve"> of the Discussion Paper. </w:t>
      </w:r>
    </w:p>
    <w:p w14:paraId="4E6252E4" w14:textId="056A50B5" w:rsidR="00162928" w:rsidRPr="00730E8C" w:rsidRDefault="00162928" w:rsidP="00691065">
      <w:pPr>
        <w:pStyle w:val="QIDANSubheading"/>
        <w:rPr>
          <w:szCs w:val="22"/>
        </w:rPr>
      </w:pPr>
      <w:r w:rsidRPr="00691065">
        <w:rPr>
          <w:sz w:val="24"/>
          <w:szCs w:val="22"/>
        </w:rPr>
        <w:t xml:space="preserve">Ensuring information about rights and remedies is easy to find, understand and use </w:t>
      </w:r>
    </w:p>
    <w:p w14:paraId="653CC71A" w14:textId="425E11A0" w:rsidR="002E1070" w:rsidRDefault="004B10AB" w:rsidP="00E72899">
      <w:pPr>
        <w:rPr>
          <w:rFonts w:eastAsiaTheme="majorEastAsia"/>
          <w:lang w:val="en-AU"/>
        </w:rPr>
      </w:pPr>
      <w:r>
        <w:rPr>
          <w:rFonts w:eastAsiaTheme="majorEastAsia"/>
          <w:lang w:val="en-AU"/>
        </w:rPr>
        <w:lastRenderedPageBreak/>
        <w:t>When</w:t>
      </w:r>
      <w:r w:rsidR="00E72899">
        <w:rPr>
          <w:rFonts w:eastAsiaTheme="majorEastAsia"/>
        </w:rPr>
        <w:t xml:space="preserve"> supporting people through a complaint to the </w:t>
      </w:r>
      <w:r>
        <w:rPr>
          <w:rFonts w:eastAsiaTheme="majorEastAsia"/>
        </w:rPr>
        <w:t xml:space="preserve">QHRC, QIDAN advocates </w:t>
      </w:r>
      <w:r w:rsidR="00451AE8">
        <w:rPr>
          <w:rFonts w:eastAsiaTheme="majorEastAsia"/>
          <w:lang w:val="en-AU"/>
        </w:rPr>
        <w:t>often</w:t>
      </w:r>
      <w:r w:rsidR="00E72899" w:rsidRPr="00D53ED3">
        <w:rPr>
          <w:rFonts w:eastAsiaTheme="majorEastAsia"/>
          <w:lang w:val="en-AU"/>
        </w:rPr>
        <w:t xml:space="preserve"> note </w:t>
      </w:r>
      <w:r w:rsidR="00F5143E">
        <w:rPr>
          <w:rFonts w:eastAsiaTheme="majorEastAsia"/>
          <w:lang w:val="en-AU"/>
        </w:rPr>
        <w:t>that</w:t>
      </w:r>
      <w:r w:rsidR="00D07C5A">
        <w:rPr>
          <w:rFonts w:eastAsiaTheme="majorEastAsia"/>
          <w:lang w:val="en-AU"/>
        </w:rPr>
        <w:t xml:space="preserve"> k</w:t>
      </w:r>
      <w:r w:rsidR="006530C0">
        <w:rPr>
          <w:rFonts w:eastAsiaTheme="majorEastAsia"/>
          <w:lang w:val="en-AU"/>
        </w:rPr>
        <w:t>ey barriers for people with disability include:</w:t>
      </w:r>
    </w:p>
    <w:p w14:paraId="5BC75D5E" w14:textId="77777777" w:rsidR="0083337C" w:rsidRDefault="00927E52" w:rsidP="002E1070">
      <w:pPr>
        <w:pStyle w:val="ListParagraph"/>
        <w:numPr>
          <w:ilvl w:val="0"/>
          <w:numId w:val="20"/>
        </w:numPr>
        <w:rPr>
          <w:rFonts w:eastAsiaTheme="majorEastAsia"/>
          <w:lang w:val="en-AU"/>
        </w:rPr>
      </w:pPr>
      <w:r>
        <w:rPr>
          <w:rFonts w:eastAsiaTheme="majorEastAsia"/>
          <w:lang w:val="en-AU"/>
        </w:rPr>
        <w:t>the QHRC’s website</w:t>
      </w:r>
      <w:r w:rsidR="00300DBB">
        <w:rPr>
          <w:rFonts w:eastAsiaTheme="majorEastAsia"/>
          <w:lang w:val="en-AU"/>
        </w:rPr>
        <w:t>.</w:t>
      </w:r>
      <w:r w:rsidR="00694688">
        <w:rPr>
          <w:rFonts w:eastAsiaTheme="majorEastAsia"/>
          <w:lang w:val="en-AU"/>
        </w:rPr>
        <w:t xml:space="preserve"> </w:t>
      </w:r>
      <w:r w:rsidR="00F97A58">
        <w:rPr>
          <w:rFonts w:eastAsiaTheme="majorEastAsia"/>
          <w:lang w:val="en-AU"/>
        </w:rPr>
        <w:t>It can be difficult to navigate, it does not e</w:t>
      </w:r>
      <w:r w:rsidR="00807680">
        <w:rPr>
          <w:rFonts w:eastAsiaTheme="majorEastAsia"/>
          <w:lang w:val="en-AU"/>
        </w:rPr>
        <w:t xml:space="preserve">xplain the terminology used throughout the complaints process </w:t>
      </w:r>
      <w:r w:rsidR="00442A7E">
        <w:rPr>
          <w:rFonts w:eastAsiaTheme="majorEastAsia"/>
          <w:lang w:val="en-AU"/>
        </w:rPr>
        <w:t xml:space="preserve">or provide clear information on the possible outcomes if a complaint is lodged. </w:t>
      </w:r>
      <w:r w:rsidR="00300DBB">
        <w:rPr>
          <w:rFonts w:eastAsiaTheme="majorEastAsia"/>
          <w:lang w:val="en-AU"/>
        </w:rPr>
        <w:t xml:space="preserve"> </w:t>
      </w:r>
    </w:p>
    <w:p w14:paraId="40609914" w14:textId="350F65F0" w:rsidR="000B08D5" w:rsidRDefault="001B20B4" w:rsidP="002E1070">
      <w:pPr>
        <w:pStyle w:val="ListParagraph"/>
        <w:numPr>
          <w:ilvl w:val="0"/>
          <w:numId w:val="20"/>
        </w:numPr>
        <w:rPr>
          <w:rFonts w:eastAsiaTheme="majorEastAsia"/>
          <w:lang w:val="en-AU"/>
        </w:rPr>
      </w:pPr>
      <w:r>
        <w:rPr>
          <w:rFonts w:eastAsiaTheme="majorEastAsia"/>
          <w:lang w:val="en-AU"/>
        </w:rPr>
        <w:t>the lack of translat</w:t>
      </w:r>
      <w:r w:rsidR="00703C13">
        <w:rPr>
          <w:rFonts w:eastAsiaTheme="majorEastAsia"/>
          <w:lang w:val="en-AU"/>
        </w:rPr>
        <w:t xml:space="preserve">ed content. </w:t>
      </w:r>
      <w:r w:rsidR="00E72899" w:rsidRPr="00730E8C">
        <w:rPr>
          <w:rFonts w:eastAsiaTheme="majorEastAsia"/>
          <w:lang w:val="en-AU"/>
        </w:rPr>
        <w:t xml:space="preserve">While the website content is available in some community languages via a live translate button, the complaint form is </w:t>
      </w:r>
      <w:r w:rsidR="004F191D" w:rsidRPr="00691065">
        <w:rPr>
          <w:rFonts w:eastAsiaTheme="majorEastAsia"/>
          <w:lang w:val="en-AU"/>
        </w:rPr>
        <w:t>only available in English.</w:t>
      </w:r>
      <w:r w:rsidR="00703C13">
        <w:rPr>
          <w:rFonts w:eastAsiaTheme="majorEastAsia"/>
          <w:lang w:val="en-AU"/>
        </w:rPr>
        <w:t xml:space="preserve"> This is particularly problematic for people with disability from culturally and linguistically diverse (CALD) backgrounds. </w:t>
      </w:r>
      <w:r w:rsidR="004F191D" w:rsidRPr="00691065">
        <w:rPr>
          <w:rFonts w:eastAsiaTheme="majorEastAsia"/>
          <w:lang w:val="en-AU"/>
        </w:rPr>
        <w:t xml:space="preserve"> </w:t>
      </w:r>
    </w:p>
    <w:p w14:paraId="0FA767E2" w14:textId="4F038E2F" w:rsidR="00E05102" w:rsidRDefault="00E05102" w:rsidP="002E1070">
      <w:pPr>
        <w:pStyle w:val="ListParagraph"/>
        <w:numPr>
          <w:ilvl w:val="0"/>
          <w:numId w:val="20"/>
        </w:numPr>
        <w:rPr>
          <w:rFonts w:eastAsiaTheme="majorEastAsia"/>
          <w:lang w:val="en-AU"/>
        </w:rPr>
      </w:pPr>
      <w:r>
        <w:rPr>
          <w:rFonts w:eastAsiaTheme="majorEastAsia"/>
          <w:lang w:val="en-AU"/>
        </w:rPr>
        <w:t>inaccessible</w:t>
      </w:r>
      <w:r w:rsidR="000B08D5">
        <w:rPr>
          <w:rFonts w:eastAsiaTheme="majorEastAsia"/>
          <w:lang w:val="en-AU"/>
        </w:rPr>
        <w:t xml:space="preserve"> content. </w:t>
      </w:r>
      <w:r w:rsidR="00E72899" w:rsidRPr="00730E8C">
        <w:rPr>
          <w:rFonts w:eastAsiaTheme="majorEastAsia"/>
          <w:lang w:val="en-AU"/>
        </w:rPr>
        <w:t xml:space="preserve">There is no easy read version available of either the </w:t>
      </w:r>
      <w:r w:rsidR="009554BA" w:rsidRPr="00691065">
        <w:rPr>
          <w:rFonts w:eastAsiaTheme="majorEastAsia"/>
          <w:lang w:val="en-AU"/>
        </w:rPr>
        <w:t>complaint</w:t>
      </w:r>
      <w:r w:rsidR="00E72899" w:rsidRPr="00691065">
        <w:rPr>
          <w:rFonts w:eastAsiaTheme="majorEastAsia"/>
          <w:lang w:val="en-AU"/>
        </w:rPr>
        <w:t xml:space="preserve"> </w:t>
      </w:r>
      <w:r w:rsidR="00E72899" w:rsidRPr="00730E8C">
        <w:rPr>
          <w:rFonts w:eastAsiaTheme="majorEastAsia"/>
          <w:lang w:val="en-AU"/>
        </w:rPr>
        <w:t xml:space="preserve">form or </w:t>
      </w:r>
      <w:r w:rsidR="009554BA" w:rsidRPr="00691065">
        <w:rPr>
          <w:rFonts w:eastAsiaTheme="majorEastAsia"/>
          <w:lang w:val="en-AU"/>
        </w:rPr>
        <w:t xml:space="preserve">the </w:t>
      </w:r>
      <w:r w:rsidR="00E72899" w:rsidRPr="00730E8C">
        <w:rPr>
          <w:rFonts w:eastAsiaTheme="majorEastAsia"/>
          <w:lang w:val="en-AU"/>
        </w:rPr>
        <w:t>web content</w:t>
      </w:r>
      <w:r w:rsidR="000D0BB5" w:rsidRPr="00691065">
        <w:rPr>
          <w:rFonts w:eastAsiaTheme="majorEastAsia"/>
          <w:lang w:val="en-AU"/>
        </w:rPr>
        <w:t>,</w:t>
      </w:r>
      <w:r w:rsidR="00E72899" w:rsidRPr="00730E8C">
        <w:rPr>
          <w:rFonts w:eastAsiaTheme="majorEastAsia"/>
          <w:lang w:val="en-AU"/>
        </w:rPr>
        <w:t xml:space="preserve"> and no audio or visual formats. </w:t>
      </w:r>
      <w:r w:rsidR="00E82C33">
        <w:rPr>
          <w:rFonts w:eastAsiaTheme="majorEastAsia"/>
          <w:lang w:val="en-AU"/>
        </w:rPr>
        <w:t xml:space="preserve"> </w:t>
      </w:r>
    </w:p>
    <w:p w14:paraId="0FD33F1E" w14:textId="56728EC5" w:rsidR="00E72899" w:rsidRDefault="00E72899" w:rsidP="00E72899">
      <w:pPr>
        <w:rPr>
          <w:rFonts w:eastAsiaTheme="majorEastAsia"/>
          <w:lang w:val="en-AU"/>
        </w:rPr>
      </w:pPr>
      <w:r w:rsidRPr="00730E8C">
        <w:rPr>
          <w:rFonts w:eastAsiaTheme="majorEastAsia"/>
          <w:lang w:val="en-AU"/>
        </w:rPr>
        <w:t>While the cost of providing alternative formats for every piece of information may be a factor, it should not override the access needs of people seeking information about their rights.</w:t>
      </w:r>
      <w:r w:rsidR="00BE038B" w:rsidRPr="00730E8C">
        <w:rPr>
          <w:rFonts w:eastAsiaTheme="majorEastAsia"/>
          <w:lang w:val="en-AU"/>
        </w:rPr>
        <w:t xml:space="preserve"> Accessing interpreters or an advocate to do this work is </w:t>
      </w:r>
      <w:r w:rsidR="00F734E0">
        <w:rPr>
          <w:rFonts w:eastAsiaTheme="majorEastAsia"/>
          <w:lang w:val="en-AU"/>
        </w:rPr>
        <w:t>likely</w:t>
      </w:r>
      <w:r w:rsidR="007F1478" w:rsidRPr="00730E8C">
        <w:rPr>
          <w:rFonts w:eastAsiaTheme="majorEastAsia"/>
          <w:lang w:val="en-AU"/>
        </w:rPr>
        <w:t xml:space="preserve"> costing more resources</w:t>
      </w:r>
      <w:r w:rsidR="005D6AC1">
        <w:rPr>
          <w:rFonts w:eastAsiaTheme="majorEastAsia"/>
          <w:lang w:val="en-AU"/>
        </w:rPr>
        <w:t xml:space="preserve"> </w:t>
      </w:r>
      <w:r w:rsidR="00F734E0">
        <w:rPr>
          <w:rFonts w:eastAsiaTheme="majorEastAsia"/>
          <w:lang w:val="en-AU"/>
        </w:rPr>
        <w:t>over time</w:t>
      </w:r>
      <w:r w:rsidR="005D6AC1" w:rsidRPr="00691065">
        <w:rPr>
          <w:rFonts w:eastAsiaTheme="majorEastAsia"/>
          <w:lang w:val="en-AU"/>
        </w:rPr>
        <w:t xml:space="preserve"> </w:t>
      </w:r>
      <w:r w:rsidR="005D6AC1" w:rsidRPr="00730E8C">
        <w:rPr>
          <w:rFonts w:eastAsiaTheme="majorEastAsia"/>
          <w:lang w:val="en-AU"/>
        </w:rPr>
        <w:t>than having alternative formats readily accessible.</w:t>
      </w:r>
      <w:r w:rsidRPr="00730E8C">
        <w:rPr>
          <w:rFonts w:eastAsiaTheme="majorEastAsia"/>
          <w:lang w:val="en-AU"/>
        </w:rPr>
        <w:t xml:space="preserve"> The</w:t>
      </w:r>
      <w:r w:rsidR="00DD7AD7" w:rsidRPr="00730E8C">
        <w:rPr>
          <w:rFonts w:eastAsiaTheme="majorEastAsia"/>
          <w:lang w:val="en-AU"/>
        </w:rPr>
        <w:t xml:space="preserve"> DRC recommended public</w:t>
      </w:r>
      <w:r w:rsidR="00D01D58" w:rsidRPr="00730E8C">
        <w:rPr>
          <w:rFonts w:eastAsiaTheme="majorEastAsia"/>
          <w:lang w:val="en-AU"/>
        </w:rPr>
        <w:t xml:space="preserve"> bodies be obligated to provide accessible information, and the</w:t>
      </w:r>
      <w:r w:rsidRPr="00730E8C">
        <w:rPr>
          <w:rFonts w:eastAsiaTheme="majorEastAsia"/>
          <w:lang w:val="en-AU"/>
        </w:rPr>
        <w:t xml:space="preserve"> measures </w:t>
      </w:r>
      <w:r w:rsidR="00D01D58" w:rsidRPr="00730E8C">
        <w:rPr>
          <w:rFonts w:eastAsiaTheme="majorEastAsia"/>
          <w:lang w:val="en-AU"/>
        </w:rPr>
        <w:t>the</w:t>
      </w:r>
      <w:r w:rsidR="005942A9" w:rsidRPr="00730E8C">
        <w:rPr>
          <w:rFonts w:eastAsiaTheme="majorEastAsia"/>
          <w:lang w:val="en-AU"/>
        </w:rPr>
        <w:t xml:space="preserve"> </w:t>
      </w:r>
      <w:r w:rsidRPr="00730E8C">
        <w:rPr>
          <w:rFonts w:eastAsiaTheme="majorEastAsia"/>
          <w:lang w:val="en-AU"/>
        </w:rPr>
        <w:t xml:space="preserve">DRC </w:t>
      </w:r>
      <w:r w:rsidR="005942A9" w:rsidRPr="00730E8C">
        <w:rPr>
          <w:rFonts w:eastAsiaTheme="majorEastAsia"/>
          <w:lang w:val="en-AU"/>
        </w:rPr>
        <w:t xml:space="preserve">itself took </w:t>
      </w:r>
      <w:r w:rsidRPr="00730E8C">
        <w:rPr>
          <w:rFonts w:eastAsiaTheme="majorEastAsia"/>
          <w:lang w:val="en-AU"/>
        </w:rPr>
        <w:t>to provide accessible and trauma-informed access to their processes is a good example of best practice and an approach which centres the human rights of people with disability.</w:t>
      </w:r>
      <w:r w:rsidR="00114F8C">
        <w:rPr>
          <w:rStyle w:val="FootnoteReference"/>
          <w:rFonts w:eastAsiaTheme="majorEastAsia"/>
          <w:lang w:val="en-AU"/>
        </w:rPr>
        <w:footnoteReference w:id="4"/>
      </w:r>
      <w:r w:rsidRPr="00730E8C">
        <w:rPr>
          <w:rFonts w:eastAsiaTheme="majorEastAsia"/>
          <w:lang w:val="en-AU"/>
        </w:rPr>
        <w:t xml:space="preserve"> </w:t>
      </w:r>
    </w:p>
    <w:p w14:paraId="1856B4E7" w14:textId="1D0A13D7" w:rsidR="00165948" w:rsidRPr="00730E8C" w:rsidRDefault="00165948" w:rsidP="00C418C9">
      <w:pPr>
        <w:pStyle w:val="QIDANSubheading"/>
        <w:spacing w:after="0"/>
      </w:pPr>
      <w:r w:rsidRPr="00691065">
        <w:rPr>
          <w:sz w:val="24"/>
        </w:rPr>
        <w:t xml:space="preserve">Allowing complaints to be made in more ways, including verbally </w:t>
      </w:r>
    </w:p>
    <w:p w14:paraId="36292C14" w14:textId="24BC72AC" w:rsidR="00E72899" w:rsidRDefault="00E72899" w:rsidP="00E72899">
      <w:pPr>
        <w:rPr>
          <w:rFonts w:eastAsiaTheme="majorEastAsia"/>
          <w:lang w:val="en-AU"/>
        </w:rPr>
      </w:pPr>
      <w:r>
        <w:rPr>
          <w:rFonts w:eastAsiaTheme="majorEastAsia"/>
          <w:lang w:val="en-AU"/>
        </w:rPr>
        <w:t xml:space="preserve">Requiring complaints to be made in writing is prohibitive for some people with disability, </w:t>
      </w:r>
      <w:r w:rsidR="00B86795">
        <w:rPr>
          <w:rFonts w:eastAsiaTheme="majorEastAsia"/>
          <w:lang w:val="en-AU"/>
        </w:rPr>
        <w:t xml:space="preserve">people with </w:t>
      </w:r>
      <w:r>
        <w:rPr>
          <w:rFonts w:eastAsiaTheme="majorEastAsia"/>
          <w:lang w:val="en-AU"/>
        </w:rPr>
        <w:t xml:space="preserve">low or limited English, and for children and young people. QIDAN advocates report that for some people they support, lodging a complaint would not be possible without an advocate or someone else to assist. </w:t>
      </w:r>
      <w:r w:rsidR="00DE3E4F">
        <w:rPr>
          <w:rFonts w:eastAsiaTheme="majorEastAsia"/>
        </w:rPr>
        <w:t xml:space="preserve">This may be due to the inaccessibility of the process or because people prefer to focus on solving the issue with the duty holder, or both. </w:t>
      </w:r>
      <w:r>
        <w:rPr>
          <w:rFonts w:eastAsiaTheme="majorEastAsia"/>
          <w:lang w:val="en-AU"/>
        </w:rPr>
        <w:t xml:space="preserve">Relatively high numbers of complaints from people with disability should therefore </w:t>
      </w:r>
      <w:r>
        <w:rPr>
          <w:rFonts w:eastAsiaTheme="majorEastAsia"/>
          <w:lang w:val="en-AU"/>
        </w:rPr>
        <w:lastRenderedPageBreak/>
        <w:t>not be seen as evidence that the process is accessible for everyone. This is supported by the Commission’s own annual reporting</w:t>
      </w:r>
      <w:r w:rsidR="00557686">
        <w:rPr>
          <w:rFonts w:eastAsiaTheme="majorEastAsia"/>
          <w:lang w:val="en-AU"/>
        </w:rPr>
        <w:t xml:space="preserve"> which states that the rise </w:t>
      </w:r>
      <w:r>
        <w:rPr>
          <w:rFonts w:eastAsiaTheme="majorEastAsia"/>
          <w:lang w:val="en-AU"/>
        </w:rPr>
        <w:t>‘</w:t>
      </w:r>
      <w:r w:rsidRPr="003B65A0">
        <w:rPr>
          <w:rFonts w:eastAsiaTheme="majorEastAsia"/>
          <w:i/>
          <w:iCs/>
          <w:lang w:val="en-AU"/>
        </w:rPr>
        <w:t>may be attributed to an increase in</w:t>
      </w:r>
      <w:r>
        <w:rPr>
          <w:rFonts w:eastAsiaTheme="majorEastAsia"/>
          <w:i/>
          <w:iCs/>
          <w:lang w:val="en-AU"/>
        </w:rPr>
        <w:t xml:space="preserve"> </w:t>
      </w:r>
      <w:r w:rsidRPr="003B65A0">
        <w:rPr>
          <w:rFonts w:eastAsiaTheme="majorEastAsia"/>
          <w:i/>
          <w:iCs/>
          <w:lang w:val="en-AU"/>
        </w:rPr>
        <w:t xml:space="preserve">generative artificial </w:t>
      </w:r>
      <w:r>
        <w:rPr>
          <w:rFonts w:eastAsiaTheme="majorEastAsia"/>
          <w:i/>
          <w:iCs/>
          <w:lang w:val="en-AU"/>
        </w:rPr>
        <w:t>i</w:t>
      </w:r>
      <w:r w:rsidRPr="003B65A0">
        <w:rPr>
          <w:rFonts w:eastAsiaTheme="majorEastAsia"/>
          <w:i/>
          <w:iCs/>
          <w:lang w:val="en-AU"/>
        </w:rPr>
        <w:t>ntelligence (AI)</w:t>
      </w:r>
      <w:r>
        <w:rPr>
          <w:rFonts w:eastAsiaTheme="majorEastAsia"/>
          <w:i/>
          <w:iCs/>
          <w:lang w:val="en-AU"/>
        </w:rPr>
        <w:t xml:space="preserve"> </w:t>
      </w:r>
      <w:r w:rsidRPr="003B65A0">
        <w:rPr>
          <w:rFonts w:eastAsiaTheme="majorEastAsia"/>
          <w:i/>
          <w:iCs/>
          <w:lang w:val="en-AU"/>
        </w:rPr>
        <w:t>supported complaints and</w:t>
      </w:r>
      <w:r>
        <w:rPr>
          <w:rFonts w:eastAsiaTheme="majorEastAsia"/>
          <w:i/>
          <w:iCs/>
          <w:lang w:val="en-AU"/>
        </w:rPr>
        <w:t xml:space="preserve"> </w:t>
      </w:r>
      <w:r w:rsidRPr="003B65A0">
        <w:rPr>
          <w:rFonts w:eastAsiaTheme="majorEastAsia"/>
          <w:i/>
          <w:iCs/>
          <w:lang w:val="en-AU"/>
        </w:rPr>
        <w:t xml:space="preserve">an increase in awareness raising </w:t>
      </w:r>
      <w:r>
        <w:rPr>
          <w:rFonts w:eastAsiaTheme="majorEastAsia"/>
          <w:i/>
          <w:iCs/>
          <w:lang w:val="en-AU"/>
        </w:rPr>
        <w:t>a</w:t>
      </w:r>
      <w:r w:rsidRPr="003B65A0">
        <w:rPr>
          <w:rFonts w:eastAsiaTheme="majorEastAsia"/>
          <w:i/>
          <w:iCs/>
          <w:lang w:val="en-AU"/>
        </w:rPr>
        <w:t>ctivities</w:t>
      </w:r>
      <w:r>
        <w:rPr>
          <w:rFonts w:eastAsiaTheme="majorEastAsia"/>
          <w:i/>
          <w:iCs/>
          <w:lang w:val="en-AU"/>
        </w:rPr>
        <w:t>’.</w:t>
      </w:r>
      <w:r w:rsidR="009406B7">
        <w:rPr>
          <w:rStyle w:val="FootnoteReference"/>
          <w:rFonts w:eastAsiaTheme="majorEastAsia"/>
          <w:i/>
          <w:iCs/>
          <w:lang w:val="en-AU"/>
        </w:rPr>
        <w:footnoteReference w:id="5"/>
      </w:r>
      <w:r>
        <w:rPr>
          <w:rFonts w:eastAsiaTheme="majorEastAsia"/>
          <w:i/>
          <w:iCs/>
          <w:lang w:val="en-AU"/>
        </w:rPr>
        <w:t xml:space="preserve"> </w:t>
      </w:r>
      <w:r>
        <w:t xml:space="preserve">Given the </w:t>
      </w:r>
      <w:r w:rsidR="00AE06C8">
        <w:t xml:space="preserve">increase in </w:t>
      </w:r>
      <w:r w:rsidR="00856466">
        <w:t xml:space="preserve">racial discrimination </w:t>
      </w:r>
      <w:r w:rsidR="00AE06C8">
        <w:t xml:space="preserve">complaints </w:t>
      </w:r>
      <w:r w:rsidR="00856466">
        <w:t>c</w:t>
      </w:r>
      <w:r w:rsidR="00030766">
        <w:t>orrespond</w:t>
      </w:r>
      <w:r w:rsidR="00856466">
        <w:t>s</w:t>
      </w:r>
      <w:r w:rsidR="00030766">
        <w:t xml:space="preserve"> with a</w:t>
      </w:r>
      <w:r>
        <w:t xml:space="preserve"> large increase in engagement and awareness activities undertaken with multicultural and First Nations communities by the Commission over the same time period</w:t>
      </w:r>
      <w:r w:rsidR="0021240C">
        <w:rPr>
          <w:rStyle w:val="FootnoteReference"/>
        </w:rPr>
        <w:footnoteReference w:id="6"/>
      </w:r>
      <w:r>
        <w:t xml:space="preserve">, it seems possible AI is helping these </w:t>
      </w:r>
      <w:r w:rsidR="00B408FB">
        <w:t xml:space="preserve">communities </w:t>
      </w:r>
      <w:r>
        <w:t xml:space="preserve">lodge complaints which may not otherwise have been made. This aligns with the experience of QIDAN advocates who support </w:t>
      </w:r>
      <w:r w:rsidR="00890DB7">
        <w:t>CALD</w:t>
      </w:r>
      <w:r>
        <w:t xml:space="preserve"> people with disability and the difficulty they have navigating the wordy and complex complaints form and online information.</w:t>
      </w:r>
      <w:r w:rsidR="004677EF">
        <w:t xml:space="preserve"> </w:t>
      </w:r>
      <w:r w:rsidR="00321EC4">
        <w:t>We caution that a</w:t>
      </w:r>
      <w:r w:rsidR="007012D2">
        <w:t xml:space="preserve">ny measures to </w:t>
      </w:r>
      <w:r w:rsidR="00D3670E">
        <w:t>limit</w:t>
      </w:r>
      <w:r w:rsidR="007012D2">
        <w:t xml:space="preserve"> the use of AI must recognise that it is an accessibility tool for some people, </w:t>
      </w:r>
      <w:r w:rsidR="00C9237E">
        <w:t xml:space="preserve">and balance this need </w:t>
      </w:r>
      <w:r w:rsidR="007012D2">
        <w:t>against concerns about its use</w:t>
      </w:r>
      <w:r w:rsidR="00EB39B3">
        <w:t xml:space="preserve">. </w:t>
      </w:r>
      <w:r w:rsidR="00404514">
        <w:t>If attempts to limit the use of AI are to be made, a</w:t>
      </w:r>
      <w:r w:rsidR="00030766">
        <w:t xml:space="preserve">ddressing </w:t>
      </w:r>
      <w:r>
        <w:rPr>
          <w:rFonts w:eastAsiaTheme="majorEastAsia"/>
          <w:lang w:val="en-AU"/>
        </w:rPr>
        <w:t xml:space="preserve">the complexity of the complaints process and form of complaint </w:t>
      </w:r>
      <w:r w:rsidR="002432F7">
        <w:rPr>
          <w:rFonts w:eastAsiaTheme="majorEastAsia"/>
          <w:lang w:val="en-AU"/>
        </w:rPr>
        <w:t xml:space="preserve">should be the first priority </w:t>
      </w:r>
      <w:r w:rsidR="00404514">
        <w:rPr>
          <w:rFonts w:eastAsiaTheme="majorEastAsia"/>
          <w:lang w:val="en-AU"/>
        </w:rPr>
        <w:t>to avoid</w:t>
      </w:r>
      <w:r w:rsidR="000516F9">
        <w:rPr>
          <w:rFonts w:eastAsiaTheme="majorEastAsia"/>
          <w:lang w:val="en-AU"/>
        </w:rPr>
        <w:t xml:space="preserve"> reinstituting </w:t>
      </w:r>
      <w:r w:rsidR="00404514">
        <w:rPr>
          <w:rFonts w:eastAsiaTheme="majorEastAsia"/>
          <w:lang w:val="en-AU"/>
        </w:rPr>
        <w:t xml:space="preserve">barriers to </w:t>
      </w:r>
      <w:r>
        <w:rPr>
          <w:rFonts w:eastAsiaTheme="majorEastAsia"/>
          <w:lang w:val="en-AU"/>
        </w:rPr>
        <w:t xml:space="preserve">justice for people </w:t>
      </w:r>
      <w:r w:rsidR="00404514">
        <w:rPr>
          <w:rFonts w:eastAsiaTheme="majorEastAsia"/>
          <w:lang w:val="en-AU"/>
        </w:rPr>
        <w:t>who find it difficult to</w:t>
      </w:r>
      <w:r>
        <w:rPr>
          <w:rFonts w:eastAsiaTheme="majorEastAsia"/>
          <w:lang w:val="en-AU"/>
        </w:rPr>
        <w:t xml:space="preserve"> submit a complex written document. </w:t>
      </w:r>
    </w:p>
    <w:p w14:paraId="5EFC4406" w14:textId="5B7FAA02" w:rsidR="009F624F" w:rsidRPr="009F624F" w:rsidRDefault="009F624F" w:rsidP="003914FC">
      <w:pPr>
        <w:pStyle w:val="QIDANSubheading"/>
        <w:spacing w:after="0"/>
        <w:rPr>
          <w:sz w:val="24"/>
          <w:szCs w:val="22"/>
        </w:rPr>
      </w:pPr>
      <w:r w:rsidRPr="009F624F">
        <w:rPr>
          <w:sz w:val="24"/>
          <w:szCs w:val="22"/>
        </w:rPr>
        <w:t xml:space="preserve">Providing more flexible options for resolving complaints </w:t>
      </w:r>
    </w:p>
    <w:p w14:paraId="41C9F0C1" w14:textId="151ACF4E" w:rsidR="00B408FB" w:rsidRDefault="00E72899" w:rsidP="003434DC">
      <w:pPr>
        <w:spacing w:after="0"/>
        <w:rPr>
          <w:rFonts w:eastAsiaTheme="majorEastAsia"/>
          <w:lang w:val="en-AU"/>
        </w:rPr>
      </w:pPr>
      <w:r>
        <w:rPr>
          <w:rFonts w:eastAsiaTheme="majorEastAsia"/>
          <w:lang w:val="en-AU"/>
        </w:rPr>
        <w:t>QIDAN supports the changes to the complaints framework proposed in the Draft Anti-Discrimination Bill 2024</w:t>
      </w:r>
      <w:r w:rsidR="00B4752D">
        <w:rPr>
          <w:rFonts w:eastAsiaTheme="majorEastAsia"/>
          <w:lang w:val="en-AU"/>
        </w:rPr>
        <w:t xml:space="preserve"> as </w:t>
      </w:r>
      <w:r>
        <w:rPr>
          <w:rFonts w:eastAsiaTheme="majorEastAsia"/>
          <w:lang w:val="en-AU"/>
        </w:rPr>
        <w:t>mentioned in the Review’s Discussion Paper</w:t>
      </w:r>
      <w:r w:rsidR="00B4752D">
        <w:rPr>
          <w:rFonts w:eastAsiaTheme="majorEastAsia"/>
          <w:lang w:val="en-AU"/>
        </w:rPr>
        <w:t xml:space="preserve">, </w:t>
      </w:r>
      <w:r w:rsidR="00135550">
        <w:rPr>
          <w:rFonts w:eastAsiaTheme="majorEastAsia"/>
          <w:lang w:val="en-AU"/>
        </w:rPr>
        <w:t>including:</w:t>
      </w:r>
      <w:r w:rsidR="00B408FB">
        <w:rPr>
          <w:rFonts w:eastAsiaTheme="majorEastAsia"/>
          <w:lang w:val="en-AU"/>
        </w:rPr>
        <w:t xml:space="preserve"> </w:t>
      </w:r>
    </w:p>
    <w:p w14:paraId="387C5B1E" w14:textId="2E89648C" w:rsidR="00125C17" w:rsidRPr="00752802" w:rsidRDefault="00125C17" w:rsidP="00B15268">
      <w:pPr>
        <w:pStyle w:val="ListParagraph"/>
        <w:numPr>
          <w:ilvl w:val="0"/>
          <w:numId w:val="15"/>
        </w:numPr>
        <w:rPr>
          <w:rFonts w:eastAsiaTheme="majorEastAsia"/>
          <w:lang w:val="en-AU"/>
        </w:rPr>
      </w:pPr>
      <w:r w:rsidRPr="00752802">
        <w:rPr>
          <w:rFonts w:eastAsiaTheme="majorEastAsia"/>
          <w:lang w:val="en-AU"/>
        </w:rPr>
        <w:t>Reasonable help to reduce a complaint to writing: QIDAN strongly support</w:t>
      </w:r>
      <w:r w:rsidR="00135550">
        <w:rPr>
          <w:rFonts w:eastAsiaTheme="majorEastAsia"/>
          <w:lang w:val="en-AU"/>
        </w:rPr>
        <w:t>s</w:t>
      </w:r>
      <w:r w:rsidRPr="00752802">
        <w:rPr>
          <w:rFonts w:eastAsiaTheme="majorEastAsia"/>
          <w:lang w:val="en-AU"/>
        </w:rPr>
        <w:t xml:space="preserve"> </w:t>
      </w:r>
      <w:r>
        <w:rPr>
          <w:rFonts w:eastAsiaTheme="majorEastAsia"/>
          <w:lang w:val="en-AU"/>
        </w:rPr>
        <w:t>this</w:t>
      </w:r>
      <w:r w:rsidR="00135550">
        <w:rPr>
          <w:rFonts w:eastAsiaTheme="majorEastAsia"/>
          <w:lang w:val="en-AU"/>
        </w:rPr>
        <w:t xml:space="preserve"> measure as well as </w:t>
      </w:r>
      <w:r w:rsidRPr="00752802">
        <w:rPr>
          <w:rFonts w:eastAsiaTheme="majorEastAsia"/>
          <w:lang w:val="en-AU"/>
        </w:rPr>
        <w:t xml:space="preserve">allowing complaints to be lodged in other formats, including verbally over the phone or in person. </w:t>
      </w:r>
      <w:r>
        <w:rPr>
          <w:rFonts w:eastAsiaTheme="majorEastAsia"/>
          <w:lang w:val="en-AU"/>
        </w:rPr>
        <w:t>QIDAN also asserts this should be available on request without having to satisfy ‘exceptional circumstances’ criteria.</w:t>
      </w:r>
    </w:p>
    <w:p w14:paraId="15C068A4" w14:textId="0E3BC81F" w:rsidR="00125C17" w:rsidRPr="009A32B5" w:rsidRDefault="00125C17" w:rsidP="00125C17">
      <w:pPr>
        <w:pStyle w:val="ListParagraph"/>
        <w:numPr>
          <w:ilvl w:val="0"/>
          <w:numId w:val="7"/>
        </w:numPr>
        <w:rPr>
          <w:rFonts w:eastAsiaTheme="majorEastAsia"/>
          <w:lang w:val="en-AU"/>
        </w:rPr>
      </w:pPr>
      <w:r w:rsidRPr="009A32B5">
        <w:rPr>
          <w:rFonts w:eastAsiaTheme="majorEastAsia"/>
          <w:lang w:val="en-AU"/>
        </w:rPr>
        <w:t xml:space="preserve">Timeframe for complaints: QIDAN supports extending the timeframe to lodge a discrimination complaint from 1 year to 2 years. Our advocates report that people with disability and from </w:t>
      </w:r>
      <w:r w:rsidR="00390782">
        <w:rPr>
          <w:rFonts w:eastAsiaTheme="majorEastAsia"/>
          <w:lang w:val="en-AU"/>
        </w:rPr>
        <w:t>CALD</w:t>
      </w:r>
      <w:r w:rsidRPr="009A32B5">
        <w:rPr>
          <w:rFonts w:eastAsiaTheme="majorEastAsia"/>
          <w:lang w:val="en-AU"/>
        </w:rPr>
        <w:t xml:space="preserve"> communities can be reluctant to lodge complaints against current service providers, fearing repercussions or withdrawal of existing </w:t>
      </w:r>
      <w:r w:rsidRPr="009A32B5">
        <w:rPr>
          <w:rFonts w:eastAsiaTheme="majorEastAsia"/>
          <w:lang w:val="en-AU"/>
        </w:rPr>
        <w:lastRenderedPageBreak/>
        <w:t>services. Allowing complaints to be lodged two years after poor treatment provide</w:t>
      </w:r>
      <w:r w:rsidR="00390782">
        <w:rPr>
          <w:rFonts w:eastAsiaTheme="majorEastAsia"/>
          <w:lang w:val="en-AU"/>
        </w:rPr>
        <w:t>s</w:t>
      </w:r>
      <w:r w:rsidRPr="009A32B5">
        <w:rPr>
          <w:rFonts w:eastAsiaTheme="majorEastAsia"/>
          <w:lang w:val="en-AU"/>
        </w:rPr>
        <w:t xml:space="preserve"> more time for potential complainants to find alternative providers if they are concerned about how a complaint would impact their service delivery.  </w:t>
      </w:r>
    </w:p>
    <w:p w14:paraId="117B0DC9" w14:textId="0486AE8F" w:rsidR="00125C17" w:rsidRPr="009F6F77" w:rsidRDefault="00125C17" w:rsidP="00125C17">
      <w:pPr>
        <w:pStyle w:val="ListParagraph"/>
        <w:numPr>
          <w:ilvl w:val="0"/>
          <w:numId w:val="7"/>
        </w:numPr>
        <w:rPr>
          <w:rFonts w:eastAsiaTheme="majorEastAsia"/>
          <w:lang w:val="en-AU"/>
        </w:rPr>
      </w:pPr>
      <w:r w:rsidRPr="009F6F77">
        <w:rPr>
          <w:rFonts w:eastAsiaTheme="majorEastAsia"/>
          <w:lang w:val="en-AU"/>
        </w:rPr>
        <w:t>Power to make preliminary enquiries and expanding options for dispute resolution: Multiple reviews have recommended aligning the complaints framework under both Acts</w:t>
      </w:r>
      <w:r>
        <w:rPr>
          <w:rFonts w:eastAsiaTheme="majorEastAsia"/>
          <w:lang w:val="en-AU"/>
        </w:rPr>
        <w:t xml:space="preserve"> to make a more modern and flexible process which is responsive to individual needs and circumstances. Providing options for dispute resolution which go beyond a mandatory conciliation conference is a positive change and may help reduce the risk of re-traumatisation for complainants. </w:t>
      </w:r>
    </w:p>
    <w:p w14:paraId="63E7B247" w14:textId="63C376F6" w:rsidR="00E72899" w:rsidRDefault="006430B5" w:rsidP="00E72899">
      <w:pPr>
        <w:rPr>
          <w:rFonts w:eastAsiaTheme="majorEastAsia"/>
          <w:lang w:val="en-AU"/>
        </w:rPr>
      </w:pPr>
      <w:r>
        <w:rPr>
          <w:rFonts w:eastAsiaTheme="majorEastAsia"/>
          <w:lang w:val="en-AU"/>
        </w:rPr>
        <w:t xml:space="preserve">Aligning the complaints framework under both Acts and </w:t>
      </w:r>
      <w:r w:rsidR="00E72899" w:rsidRPr="007A6022">
        <w:rPr>
          <w:rFonts w:eastAsiaTheme="majorEastAsia"/>
          <w:lang w:val="en-AU"/>
        </w:rPr>
        <w:t xml:space="preserve">expanding the options available for resolving disputes would </w:t>
      </w:r>
      <w:r w:rsidR="00064B12">
        <w:rPr>
          <w:rFonts w:eastAsiaTheme="majorEastAsia"/>
          <w:lang w:val="en-AU"/>
        </w:rPr>
        <w:t>simplify the complaints process and make it easier to understand and use</w:t>
      </w:r>
      <w:r w:rsidR="00BF6B6B">
        <w:rPr>
          <w:rFonts w:eastAsiaTheme="majorEastAsia"/>
          <w:lang w:val="en-AU"/>
        </w:rPr>
        <w:t>, especially for people with disability</w:t>
      </w:r>
      <w:r w:rsidR="002161E9">
        <w:rPr>
          <w:rFonts w:eastAsiaTheme="majorEastAsia"/>
          <w:lang w:val="en-AU"/>
        </w:rPr>
        <w:t xml:space="preserve">. </w:t>
      </w:r>
    </w:p>
    <w:p w14:paraId="67CF7B86" w14:textId="5372F1A8" w:rsidR="006E78F6" w:rsidRDefault="008D53AE" w:rsidP="00E72899">
      <w:pPr>
        <w:rPr>
          <w:rFonts w:eastAsiaTheme="majorEastAsia"/>
          <w:lang w:val="en-AU"/>
        </w:rPr>
      </w:pPr>
      <w:r>
        <w:rPr>
          <w:rFonts w:eastAsiaTheme="majorEastAsia"/>
          <w:lang w:val="en-AU"/>
        </w:rPr>
        <w:t>QIDAN supports retaining t</w:t>
      </w:r>
      <w:r w:rsidR="00951B7C">
        <w:rPr>
          <w:rFonts w:eastAsiaTheme="majorEastAsia"/>
          <w:lang w:val="en-AU"/>
        </w:rPr>
        <w:t xml:space="preserve">he </w:t>
      </w:r>
      <w:r>
        <w:rPr>
          <w:rFonts w:eastAsiaTheme="majorEastAsia"/>
          <w:lang w:val="en-AU"/>
        </w:rPr>
        <w:t xml:space="preserve">requirement for </w:t>
      </w:r>
      <w:r w:rsidR="003829B3">
        <w:rPr>
          <w:rFonts w:eastAsiaTheme="majorEastAsia"/>
          <w:lang w:val="en-AU"/>
        </w:rPr>
        <w:t xml:space="preserve">a </w:t>
      </w:r>
      <w:r w:rsidR="00951B7C">
        <w:rPr>
          <w:rFonts w:eastAsiaTheme="majorEastAsia"/>
          <w:lang w:val="en-AU"/>
        </w:rPr>
        <w:t xml:space="preserve">person making a complaint to the QHRC </w:t>
      </w:r>
      <w:r w:rsidR="003829B3">
        <w:rPr>
          <w:rFonts w:eastAsiaTheme="majorEastAsia"/>
          <w:lang w:val="en-AU"/>
        </w:rPr>
        <w:t xml:space="preserve">consenting </w:t>
      </w:r>
      <w:r w:rsidR="00951B7C">
        <w:rPr>
          <w:rFonts w:eastAsiaTheme="majorEastAsia"/>
          <w:lang w:val="en-AU"/>
        </w:rPr>
        <w:t>before their complaint can be referred to another entity</w:t>
      </w:r>
      <w:r w:rsidR="003829B3">
        <w:rPr>
          <w:rFonts w:eastAsiaTheme="majorEastAsia"/>
          <w:lang w:val="en-AU"/>
        </w:rPr>
        <w:t xml:space="preserve">. We note the Review’s preliminary view that </w:t>
      </w:r>
      <w:r w:rsidR="00931250">
        <w:rPr>
          <w:rFonts w:eastAsiaTheme="majorEastAsia"/>
          <w:lang w:val="en-AU"/>
        </w:rPr>
        <w:t xml:space="preserve">this requirement may be overly burdensome and that the QHRC holds the necessary expertise to </w:t>
      </w:r>
      <w:r w:rsidR="001D78EF">
        <w:rPr>
          <w:rFonts w:eastAsiaTheme="majorEastAsia"/>
          <w:lang w:val="en-AU"/>
        </w:rPr>
        <w:t>determine how complaints should be handled</w:t>
      </w:r>
      <w:r w:rsidR="00F25A99">
        <w:rPr>
          <w:rFonts w:eastAsiaTheme="majorEastAsia"/>
          <w:lang w:val="en-AU"/>
        </w:rPr>
        <w:t xml:space="preserve">; however, due to the personal nature of complaint material we believe it is imperative that the person who has submitted it is consulted before it is shared with another entity </w:t>
      </w:r>
      <w:r w:rsidR="00A303C7">
        <w:rPr>
          <w:rFonts w:eastAsiaTheme="majorEastAsia"/>
          <w:lang w:val="en-AU"/>
        </w:rPr>
        <w:t xml:space="preserve">to ensure their privacy and control of their own information. </w:t>
      </w:r>
    </w:p>
    <w:p w14:paraId="05178F00" w14:textId="43D4BB0C" w:rsidR="00A069E0" w:rsidRPr="00730E8C" w:rsidRDefault="00A069E0" w:rsidP="00570EAB">
      <w:pPr>
        <w:pStyle w:val="QIDANSubheading"/>
        <w:spacing w:after="0"/>
        <w:rPr>
          <w:szCs w:val="22"/>
        </w:rPr>
      </w:pPr>
      <w:r w:rsidRPr="00691065">
        <w:rPr>
          <w:sz w:val="24"/>
          <w:szCs w:val="22"/>
        </w:rPr>
        <w:t xml:space="preserve">Enforcing </w:t>
      </w:r>
      <w:r w:rsidR="007172BC">
        <w:rPr>
          <w:sz w:val="24"/>
          <w:szCs w:val="22"/>
        </w:rPr>
        <w:t xml:space="preserve">meaningful and accessible </w:t>
      </w:r>
      <w:r w:rsidRPr="00691065">
        <w:rPr>
          <w:sz w:val="24"/>
          <w:szCs w:val="22"/>
        </w:rPr>
        <w:t xml:space="preserve">outcomes </w:t>
      </w:r>
    </w:p>
    <w:p w14:paraId="4AAF2EFA" w14:textId="5F43AD61" w:rsidR="00E72899" w:rsidRDefault="00E72899" w:rsidP="00E72899">
      <w:r>
        <w:rPr>
          <w:rFonts w:eastAsiaTheme="majorEastAsia"/>
        </w:rPr>
        <w:t xml:space="preserve">For complaint outcomes to be meaningful, they need to be enforceable. While the </w:t>
      </w:r>
      <w:r w:rsidR="00990DC0">
        <w:rPr>
          <w:rFonts w:eastAsiaTheme="majorEastAsia"/>
        </w:rPr>
        <w:t>A</w:t>
      </w:r>
      <w:r w:rsidR="00A069E0">
        <w:rPr>
          <w:rFonts w:eastAsiaTheme="majorEastAsia"/>
        </w:rPr>
        <w:t xml:space="preserve">DA </w:t>
      </w:r>
      <w:r>
        <w:rPr>
          <w:rFonts w:eastAsiaTheme="majorEastAsia"/>
        </w:rPr>
        <w:t xml:space="preserve">provides that an agreement reached at conciliation is enforceable as if it were a court order, the process for enforcing an agreement is </w:t>
      </w:r>
      <w:r w:rsidR="001D72ED">
        <w:rPr>
          <w:rFonts w:eastAsiaTheme="majorEastAsia"/>
        </w:rPr>
        <w:t xml:space="preserve">difficult </w:t>
      </w:r>
      <w:r>
        <w:rPr>
          <w:rFonts w:eastAsiaTheme="majorEastAsia"/>
        </w:rPr>
        <w:t xml:space="preserve">and relies on the complainant pursuing action through a court. There is little information provided about this process on the </w:t>
      </w:r>
      <w:r w:rsidR="00344228">
        <w:rPr>
          <w:rFonts w:eastAsiaTheme="majorEastAsia"/>
        </w:rPr>
        <w:t>QHRC</w:t>
      </w:r>
      <w:r>
        <w:rPr>
          <w:rFonts w:eastAsiaTheme="majorEastAsia"/>
        </w:rPr>
        <w:t xml:space="preserve"> website and </w:t>
      </w:r>
      <w:r w:rsidR="00C95E35">
        <w:rPr>
          <w:rFonts w:eastAsiaTheme="majorEastAsia"/>
        </w:rPr>
        <w:t>Queensland Civil and Administrative</w:t>
      </w:r>
      <w:r w:rsidR="00AA6210">
        <w:rPr>
          <w:rFonts w:eastAsiaTheme="majorEastAsia"/>
        </w:rPr>
        <w:t xml:space="preserve"> (</w:t>
      </w:r>
      <w:r>
        <w:rPr>
          <w:rFonts w:eastAsiaTheme="majorEastAsia"/>
        </w:rPr>
        <w:t>QCAT</w:t>
      </w:r>
      <w:r w:rsidR="00AA6210">
        <w:rPr>
          <w:rFonts w:eastAsiaTheme="majorEastAsia"/>
        </w:rPr>
        <w:t>)</w:t>
      </w:r>
      <w:r>
        <w:rPr>
          <w:rFonts w:eastAsiaTheme="majorEastAsia"/>
        </w:rPr>
        <w:t xml:space="preserve">’s information is not easy to find or understand. </w:t>
      </w:r>
      <w:r>
        <w:t xml:space="preserve">One QIDAN advocate </w:t>
      </w:r>
      <w:r w:rsidR="009F48FA">
        <w:t>recently supported a person with disability</w:t>
      </w:r>
      <w:r>
        <w:t xml:space="preserve"> through a complaint which was successfully conciliated, but the organisation complained about has not followed through on what they agreed to. The advocate reports </w:t>
      </w:r>
      <w:r>
        <w:lastRenderedPageBreak/>
        <w:t xml:space="preserve">the process is very unclear and places the burden solely on the </w:t>
      </w:r>
      <w:r w:rsidR="00154CF2">
        <w:t>person making the complaint</w:t>
      </w:r>
      <w:r>
        <w:t xml:space="preserve"> to pursue, rather than accountability and compliance being built into the system. </w:t>
      </w:r>
      <w:r w:rsidR="00154CF2">
        <w:t>In QIDAN’s view, o</w:t>
      </w:r>
      <w:r w:rsidR="00B408FB">
        <w:t xml:space="preserve">ne solution to this would be to give the </w:t>
      </w:r>
      <w:r w:rsidR="00A31867">
        <w:t>QHRC</w:t>
      </w:r>
      <w:r w:rsidR="00B408FB">
        <w:t xml:space="preserve"> enforcement powers. This would enable the </w:t>
      </w:r>
      <w:r w:rsidR="002C7DD3">
        <w:t>person making the complaint</w:t>
      </w:r>
      <w:r w:rsidR="00B408FB">
        <w:t xml:space="preserve"> </w:t>
      </w:r>
      <w:r w:rsidR="00F323C0">
        <w:t>can</w:t>
      </w:r>
      <w:r w:rsidR="00B408FB">
        <w:t xml:space="preserve"> simply notify the </w:t>
      </w:r>
      <w:r w:rsidR="00406AFA">
        <w:t>QHRC</w:t>
      </w:r>
      <w:r w:rsidR="00B408FB">
        <w:t xml:space="preserve"> that the agreed actions have not been taken, through a phone call or an online form, and for the </w:t>
      </w:r>
      <w:r w:rsidR="00C67D8F">
        <w:t>QHRC</w:t>
      </w:r>
      <w:r w:rsidR="00B408FB">
        <w:t xml:space="preserve"> to then issue a compliance notice or similar. This would remove the burden from the individual </w:t>
      </w:r>
      <w:r w:rsidR="00FD69D9">
        <w:t xml:space="preserve">making the complaint </w:t>
      </w:r>
      <w:r w:rsidR="00B408FB">
        <w:t xml:space="preserve">and strengthen accountability from </w:t>
      </w:r>
      <w:r w:rsidR="00FD69D9">
        <w:t>the organisation subject of the complaint</w:t>
      </w:r>
      <w:r w:rsidR="00B408FB">
        <w:t xml:space="preserve">. </w:t>
      </w:r>
    </w:p>
    <w:p w14:paraId="1C5C361D" w14:textId="21137AE2" w:rsidR="00CF2FC7" w:rsidRPr="00CD4D99" w:rsidRDefault="00367E9D" w:rsidP="00CD4D99">
      <w:pPr>
        <w:pStyle w:val="Heading1"/>
      </w:pPr>
      <w:bookmarkStart w:id="7" w:name="_Toc244185126"/>
      <w:bookmarkStart w:id="8" w:name="_Toc244185250"/>
      <w:r w:rsidRPr="00CD4D99">
        <w:t xml:space="preserve">It must be clear </w:t>
      </w:r>
      <w:r w:rsidR="002C1E6F" w:rsidRPr="00CD4D99">
        <w:t xml:space="preserve">to everyone </w:t>
      </w:r>
      <w:r w:rsidRPr="00CD4D99">
        <w:t>who the Human Rights Act applies to</w:t>
      </w:r>
      <w:bookmarkEnd w:id="7"/>
      <w:bookmarkEnd w:id="8"/>
    </w:p>
    <w:bookmarkEnd w:id="0"/>
    <w:p w14:paraId="068D030B" w14:textId="77777777" w:rsidR="006D547F" w:rsidRDefault="006D547F" w:rsidP="00514067">
      <w:pPr>
        <w:rPr>
          <w:rFonts w:eastAsiaTheme="majorEastAsia"/>
        </w:rPr>
      </w:pPr>
      <w:r>
        <w:rPr>
          <w:rFonts w:eastAsiaTheme="majorEastAsia"/>
        </w:rPr>
        <w:t>This section responds to questions B18 and B20 in the Discussion Paper.</w:t>
      </w:r>
    </w:p>
    <w:p w14:paraId="319E2AA5" w14:textId="2DA0A2A9" w:rsidR="006766F0" w:rsidRDefault="00336E2E" w:rsidP="00514067">
      <w:pPr>
        <w:rPr>
          <w:rFonts w:eastAsiaTheme="majorEastAsia"/>
        </w:rPr>
      </w:pPr>
      <w:r>
        <w:rPr>
          <w:rFonts w:eastAsiaTheme="majorEastAsia"/>
        </w:rPr>
        <w:t>The Discussion Paper notes concerns that there is some ambiguity about whether non</w:t>
      </w:r>
      <w:r w:rsidR="00EA48EB">
        <w:rPr>
          <w:rFonts w:eastAsiaTheme="majorEastAsia"/>
        </w:rPr>
        <w:t xml:space="preserve">-government service providers are public entities under the </w:t>
      </w:r>
      <w:r w:rsidR="00D300F2">
        <w:rPr>
          <w:rFonts w:eastAsiaTheme="majorEastAsia"/>
        </w:rPr>
        <w:t>HRA</w:t>
      </w:r>
      <w:r w:rsidR="00EA48EB">
        <w:rPr>
          <w:rFonts w:eastAsiaTheme="majorEastAsia"/>
        </w:rPr>
        <w:t xml:space="preserve">. </w:t>
      </w:r>
      <w:r w:rsidR="00514067">
        <w:rPr>
          <w:rFonts w:eastAsiaTheme="majorEastAsia"/>
        </w:rPr>
        <w:t xml:space="preserve">QIDAN </w:t>
      </w:r>
      <w:r w:rsidR="00B322A2">
        <w:rPr>
          <w:rFonts w:eastAsiaTheme="majorEastAsia"/>
        </w:rPr>
        <w:t>support</w:t>
      </w:r>
      <w:r w:rsidR="00BF1F49">
        <w:rPr>
          <w:rFonts w:eastAsiaTheme="majorEastAsia"/>
        </w:rPr>
        <w:t>s</w:t>
      </w:r>
      <w:r w:rsidR="00B322A2">
        <w:rPr>
          <w:rFonts w:eastAsiaTheme="majorEastAsia"/>
        </w:rPr>
        <w:t xml:space="preserve"> clarifying the definition of </w:t>
      </w:r>
      <w:r w:rsidR="00A92AC8">
        <w:rPr>
          <w:rFonts w:eastAsiaTheme="majorEastAsia"/>
        </w:rPr>
        <w:t>“</w:t>
      </w:r>
      <w:r w:rsidR="00B322A2">
        <w:rPr>
          <w:rFonts w:eastAsiaTheme="majorEastAsia"/>
        </w:rPr>
        <w:t>public entity</w:t>
      </w:r>
      <w:r w:rsidR="00A92AC8">
        <w:rPr>
          <w:rFonts w:eastAsiaTheme="majorEastAsia"/>
        </w:rPr>
        <w:t>”</w:t>
      </w:r>
      <w:r w:rsidR="00B322A2">
        <w:rPr>
          <w:rFonts w:eastAsiaTheme="majorEastAsia"/>
        </w:rPr>
        <w:t xml:space="preserve"> to ensure </w:t>
      </w:r>
      <w:r w:rsidR="006766F0">
        <w:rPr>
          <w:rFonts w:eastAsiaTheme="majorEastAsia"/>
        </w:rPr>
        <w:t xml:space="preserve">it is easy for organisations and for the community to understand who has obligations under the </w:t>
      </w:r>
      <w:r w:rsidR="00D300F2">
        <w:rPr>
          <w:rFonts w:eastAsiaTheme="majorEastAsia"/>
        </w:rPr>
        <w:t>law</w:t>
      </w:r>
      <w:r w:rsidR="006766F0">
        <w:rPr>
          <w:rFonts w:eastAsiaTheme="majorEastAsia"/>
        </w:rPr>
        <w:t xml:space="preserve">. </w:t>
      </w:r>
    </w:p>
    <w:p w14:paraId="269497B6" w14:textId="6035F34A" w:rsidR="00EF3654" w:rsidRDefault="00514067" w:rsidP="00514067">
      <w:pPr>
        <w:rPr>
          <w:rFonts w:eastAsiaTheme="majorEastAsia"/>
        </w:rPr>
      </w:pPr>
      <w:r>
        <w:rPr>
          <w:rFonts w:eastAsiaTheme="majorEastAsia"/>
        </w:rPr>
        <w:t>Any organisation</w:t>
      </w:r>
      <w:r w:rsidR="004E2CFC">
        <w:rPr>
          <w:rFonts w:eastAsiaTheme="majorEastAsia"/>
        </w:rPr>
        <w:t xml:space="preserve"> which provides services to the public on</w:t>
      </w:r>
      <w:r w:rsidR="00503C19">
        <w:rPr>
          <w:rFonts w:eastAsiaTheme="majorEastAsia"/>
        </w:rPr>
        <w:t xml:space="preserve"> behalf of the </w:t>
      </w:r>
      <w:r w:rsidR="00B46BA4">
        <w:rPr>
          <w:rFonts w:eastAsiaTheme="majorEastAsia"/>
        </w:rPr>
        <w:t>state</w:t>
      </w:r>
      <w:r w:rsidR="00DF1175">
        <w:rPr>
          <w:rFonts w:eastAsiaTheme="majorEastAsia"/>
        </w:rPr>
        <w:t xml:space="preserve"> should have to </w:t>
      </w:r>
      <w:r w:rsidR="00FB4587">
        <w:rPr>
          <w:rFonts w:eastAsiaTheme="majorEastAsia"/>
        </w:rPr>
        <w:t xml:space="preserve">act compatibly with human rights. </w:t>
      </w:r>
      <w:r w:rsidR="00D70321">
        <w:rPr>
          <w:rFonts w:eastAsiaTheme="majorEastAsia"/>
        </w:rPr>
        <w:t>T</w:t>
      </w:r>
      <w:r w:rsidR="00733786">
        <w:rPr>
          <w:rFonts w:eastAsiaTheme="majorEastAsia"/>
        </w:rPr>
        <w:t xml:space="preserve">his should include </w:t>
      </w:r>
      <w:r w:rsidR="00470F22">
        <w:rPr>
          <w:rFonts w:eastAsiaTheme="majorEastAsia"/>
        </w:rPr>
        <w:t xml:space="preserve">all </w:t>
      </w:r>
      <w:r w:rsidR="00733786">
        <w:rPr>
          <w:rFonts w:eastAsiaTheme="majorEastAsia"/>
        </w:rPr>
        <w:t>pr</w:t>
      </w:r>
      <w:r>
        <w:rPr>
          <w:rFonts w:eastAsiaTheme="majorEastAsia"/>
        </w:rPr>
        <w:t>ivate</w:t>
      </w:r>
      <w:r w:rsidR="004E2CFC">
        <w:rPr>
          <w:rFonts w:eastAsiaTheme="majorEastAsia"/>
        </w:rPr>
        <w:t xml:space="preserve"> corporations</w:t>
      </w:r>
      <w:r>
        <w:rPr>
          <w:rFonts w:eastAsiaTheme="majorEastAsia"/>
        </w:rPr>
        <w:t xml:space="preserve"> </w:t>
      </w:r>
      <w:r w:rsidR="00733786">
        <w:rPr>
          <w:rFonts w:eastAsiaTheme="majorEastAsia"/>
        </w:rPr>
        <w:t>and</w:t>
      </w:r>
      <w:r>
        <w:rPr>
          <w:rFonts w:eastAsiaTheme="majorEastAsia"/>
        </w:rPr>
        <w:t xml:space="preserve"> non-profit</w:t>
      </w:r>
      <w:r w:rsidR="004E2CFC">
        <w:rPr>
          <w:rFonts w:eastAsiaTheme="majorEastAsia"/>
        </w:rPr>
        <w:t xml:space="preserve"> community organisations</w:t>
      </w:r>
      <w:r w:rsidR="00733786">
        <w:rPr>
          <w:rFonts w:eastAsiaTheme="majorEastAsia"/>
        </w:rPr>
        <w:t xml:space="preserve"> funded by the state to deliver services to the community</w:t>
      </w:r>
      <w:r w:rsidR="00D4785A">
        <w:rPr>
          <w:rFonts w:eastAsiaTheme="majorEastAsia"/>
        </w:rPr>
        <w:t>.</w:t>
      </w:r>
      <w:r w:rsidR="00CC1DE6">
        <w:rPr>
          <w:rFonts w:eastAsiaTheme="majorEastAsia"/>
        </w:rPr>
        <w:t xml:space="preserve"> </w:t>
      </w:r>
      <w:r w:rsidR="00204FD5">
        <w:rPr>
          <w:rFonts w:eastAsiaTheme="majorEastAsia"/>
        </w:rPr>
        <w:t xml:space="preserve">Receiving public funding should be </w:t>
      </w:r>
      <w:r w:rsidR="00910468">
        <w:rPr>
          <w:rFonts w:eastAsiaTheme="majorEastAsia"/>
        </w:rPr>
        <w:t>the</w:t>
      </w:r>
      <w:r w:rsidR="00204FD5">
        <w:rPr>
          <w:rFonts w:eastAsiaTheme="majorEastAsia"/>
        </w:rPr>
        <w:t xml:space="preserve"> primary criteria for determining whether an organisation is a public entity</w:t>
      </w:r>
      <w:r w:rsidR="00100703">
        <w:rPr>
          <w:rFonts w:eastAsiaTheme="majorEastAsia"/>
        </w:rPr>
        <w:t xml:space="preserve">, rather than one </w:t>
      </w:r>
      <w:r w:rsidR="00470F22">
        <w:rPr>
          <w:rFonts w:eastAsiaTheme="majorEastAsia"/>
        </w:rPr>
        <w:t>which ‘may be considered’</w:t>
      </w:r>
      <w:r w:rsidR="00B23C9B">
        <w:rPr>
          <w:rFonts w:eastAsiaTheme="majorEastAsia"/>
        </w:rPr>
        <w:t xml:space="preserve">. QIDAN therefore strongly recommends that </w:t>
      </w:r>
      <w:r w:rsidR="00B66C65">
        <w:rPr>
          <w:rFonts w:eastAsiaTheme="majorEastAsia"/>
        </w:rPr>
        <w:t xml:space="preserve">the </w:t>
      </w:r>
      <w:r w:rsidR="00D300F2">
        <w:rPr>
          <w:rFonts w:eastAsiaTheme="majorEastAsia"/>
        </w:rPr>
        <w:t>HRA</w:t>
      </w:r>
      <w:r w:rsidR="00B66C65">
        <w:rPr>
          <w:rFonts w:eastAsiaTheme="majorEastAsia"/>
        </w:rPr>
        <w:t xml:space="preserve"> </w:t>
      </w:r>
      <w:r w:rsidR="00B23C9B">
        <w:rPr>
          <w:rFonts w:eastAsiaTheme="majorEastAsia"/>
        </w:rPr>
        <w:t>is</w:t>
      </w:r>
      <w:r w:rsidR="00B66C65">
        <w:rPr>
          <w:rFonts w:eastAsiaTheme="majorEastAsia"/>
        </w:rPr>
        <w:t xml:space="preserve"> </w:t>
      </w:r>
      <w:r w:rsidR="001E07F8">
        <w:rPr>
          <w:rFonts w:eastAsiaTheme="majorEastAsia"/>
        </w:rPr>
        <w:t xml:space="preserve">amended to state this clearly. </w:t>
      </w:r>
    </w:p>
    <w:p w14:paraId="7E7AF2B9" w14:textId="673E6A03" w:rsidR="00DA7292" w:rsidRDefault="00760C71" w:rsidP="00514067">
      <w:pPr>
        <w:rPr>
          <w:rFonts w:eastAsiaTheme="majorEastAsia"/>
        </w:rPr>
      </w:pPr>
      <w:r>
        <w:rPr>
          <w:rFonts w:eastAsiaTheme="majorEastAsia"/>
        </w:rPr>
        <w:t xml:space="preserve">Private schools are a good example of this. </w:t>
      </w:r>
      <w:r w:rsidR="000C0923">
        <w:rPr>
          <w:rFonts w:eastAsiaTheme="majorEastAsia"/>
        </w:rPr>
        <w:t>In</w:t>
      </w:r>
      <w:r w:rsidR="00354A64">
        <w:rPr>
          <w:rFonts w:eastAsiaTheme="majorEastAsia"/>
        </w:rPr>
        <w:t xml:space="preserve"> QIDAN’s view</w:t>
      </w:r>
      <w:r w:rsidR="000C0923">
        <w:rPr>
          <w:rFonts w:eastAsiaTheme="majorEastAsia"/>
        </w:rPr>
        <w:t xml:space="preserve">, </w:t>
      </w:r>
      <w:r w:rsidR="001E07F8">
        <w:rPr>
          <w:rFonts w:eastAsiaTheme="majorEastAsia"/>
        </w:rPr>
        <w:t xml:space="preserve">private schools should be </w:t>
      </w:r>
      <w:r w:rsidR="00693E35">
        <w:rPr>
          <w:rFonts w:eastAsiaTheme="majorEastAsia"/>
        </w:rPr>
        <w:t>considered</w:t>
      </w:r>
      <w:r w:rsidR="001E07F8">
        <w:rPr>
          <w:rFonts w:eastAsiaTheme="majorEastAsia"/>
        </w:rPr>
        <w:t xml:space="preserve"> public entities under the </w:t>
      </w:r>
      <w:r w:rsidR="00D300F2">
        <w:rPr>
          <w:rFonts w:eastAsiaTheme="majorEastAsia"/>
        </w:rPr>
        <w:t>HRA</w:t>
      </w:r>
      <w:r w:rsidR="001E07F8">
        <w:rPr>
          <w:rFonts w:eastAsiaTheme="majorEastAsia"/>
        </w:rPr>
        <w:t xml:space="preserve">. </w:t>
      </w:r>
      <w:r w:rsidR="003B4041">
        <w:rPr>
          <w:rFonts w:eastAsiaTheme="majorEastAsia"/>
        </w:rPr>
        <w:t xml:space="preserve">Students </w:t>
      </w:r>
      <w:r w:rsidR="001F322D">
        <w:rPr>
          <w:rFonts w:eastAsiaTheme="majorEastAsia"/>
        </w:rPr>
        <w:t xml:space="preserve">and staff at private schools should </w:t>
      </w:r>
      <w:r w:rsidR="004C2126">
        <w:rPr>
          <w:rFonts w:eastAsiaTheme="majorEastAsia"/>
        </w:rPr>
        <w:t xml:space="preserve">have the same benefit of the protections of the </w:t>
      </w:r>
      <w:r w:rsidR="00D300F2">
        <w:rPr>
          <w:rFonts w:eastAsiaTheme="majorEastAsia"/>
        </w:rPr>
        <w:t>law</w:t>
      </w:r>
      <w:r w:rsidR="004C2126">
        <w:rPr>
          <w:rFonts w:eastAsiaTheme="majorEastAsia"/>
        </w:rPr>
        <w:t xml:space="preserve"> </w:t>
      </w:r>
      <w:r w:rsidR="00984285">
        <w:rPr>
          <w:rFonts w:eastAsiaTheme="majorEastAsia"/>
        </w:rPr>
        <w:t>as their peers and colleagues in state schools</w:t>
      </w:r>
      <w:r w:rsidR="00743BBC">
        <w:rPr>
          <w:rFonts w:eastAsiaTheme="majorEastAsia"/>
        </w:rPr>
        <w:t xml:space="preserve">. </w:t>
      </w:r>
      <w:r w:rsidR="00EE0DD6">
        <w:rPr>
          <w:rFonts w:eastAsiaTheme="majorEastAsia"/>
        </w:rPr>
        <w:t>Education is a fundamental human right</w:t>
      </w:r>
      <w:r w:rsidR="00141828">
        <w:rPr>
          <w:rFonts w:eastAsiaTheme="majorEastAsia"/>
        </w:rPr>
        <w:t xml:space="preserve">, protected by the </w:t>
      </w:r>
      <w:r w:rsidR="00D300F2">
        <w:rPr>
          <w:rFonts w:eastAsiaTheme="majorEastAsia"/>
        </w:rPr>
        <w:t>HRA</w:t>
      </w:r>
      <w:r w:rsidR="00141828">
        <w:rPr>
          <w:rFonts w:eastAsiaTheme="majorEastAsia"/>
        </w:rPr>
        <w:t xml:space="preserve">, and private schools have access to public funding and resources to </w:t>
      </w:r>
      <w:r w:rsidR="008A7E8F">
        <w:rPr>
          <w:rFonts w:eastAsiaTheme="majorEastAsia"/>
        </w:rPr>
        <w:t xml:space="preserve">provide education. </w:t>
      </w:r>
      <w:r w:rsidR="008639A8">
        <w:rPr>
          <w:rFonts w:eastAsiaTheme="majorEastAsia"/>
        </w:rPr>
        <w:t>In some circumstances families have no choice but to send their child to a private school, including those in rural and remote areas where boarding is a</w:t>
      </w:r>
      <w:r w:rsidR="00A85349">
        <w:rPr>
          <w:rFonts w:eastAsiaTheme="majorEastAsia"/>
        </w:rPr>
        <w:t xml:space="preserve"> necessary option. </w:t>
      </w:r>
      <w:r w:rsidR="00F33566">
        <w:rPr>
          <w:rFonts w:eastAsiaTheme="majorEastAsia"/>
        </w:rPr>
        <w:t xml:space="preserve">Ensuring students’ rights are protected in all education settings is an important aspect of providing equitable, </w:t>
      </w:r>
      <w:r w:rsidR="00F33566">
        <w:rPr>
          <w:rFonts w:eastAsiaTheme="majorEastAsia"/>
        </w:rPr>
        <w:lastRenderedPageBreak/>
        <w:t>inclusive and quality education for all Queensland children and young people</w:t>
      </w:r>
      <w:r w:rsidR="00F33EBD">
        <w:rPr>
          <w:rFonts w:eastAsiaTheme="majorEastAsia"/>
        </w:rPr>
        <w:t xml:space="preserve">, </w:t>
      </w:r>
      <w:r w:rsidR="00AD6AAF">
        <w:rPr>
          <w:rFonts w:eastAsiaTheme="majorEastAsia"/>
        </w:rPr>
        <w:t xml:space="preserve">and the protections of the </w:t>
      </w:r>
      <w:r w:rsidR="00D300F2">
        <w:rPr>
          <w:rFonts w:eastAsiaTheme="majorEastAsia"/>
        </w:rPr>
        <w:t>HR</w:t>
      </w:r>
      <w:r w:rsidR="00AD6AAF">
        <w:rPr>
          <w:rFonts w:eastAsiaTheme="majorEastAsia"/>
        </w:rPr>
        <w:t xml:space="preserve">A should apply equally no matter the educational setting. </w:t>
      </w:r>
    </w:p>
    <w:p w14:paraId="0C11F24B" w14:textId="67141A63" w:rsidR="00721B0C" w:rsidRPr="00393882" w:rsidRDefault="00721B0C" w:rsidP="00CD4D99">
      <w:pPr>
        <w:pStyle w:val="Heading1"/>
      </w:pPr>
      <w:bookmarkStart w:id="9" w:name="_Toc244185127"/>
      <w:bookmarkStart w:id="10" w:name="_Toc244185251"/>
      <w:r>
        <w:t>The ADA must protect multiple and combined attributes</w:t>
      </w:r>
      <w:bookmarkEnd w:id="9"/>
      <w:bookmarkEnd w:id="10"/>
    </w:p>
    <w:p w14:paraId="2788D494" w14:textId="77777777" w:rsidR="00721B0C" w:rsidRDefault="00721B0C" w:rsidP="00721B0C">
      <w:pPr>
        <w:pStyle w:val="QIDANParagraph"/>
      </w:pPr>
      <w:r>
        <w:t>This section covers question C7 of the Discussion Paper.</w:t>
      </w:r>
    </w:p>
    <w:p w14:paraId="4750077C" w14:textId="5FA14BCE" w:rsidR="00721B0C" w:rsidRDefault="00721B0C" w:rsidP="00B7520C">
      <w:pPr>
        <w:pStyle w:val="QIDANParagraph"/>
        <w:spacing w:after="0"/>
      </w:pPr>
      <w:r>
        <w:t xml:space="preserve">As recognised by the </w:t>
      </w:r>
      <w:r w:rsidR="003D1A64">
        <w:t>CRPD,</w:t>
      </w:r>
      <w:r>
        <w:t xml:space="preserve"> people with disability have intersecting layers of identity, of which disability is only one. In compliance with article 5 of the CRPD, section 7(4) of the </w:t>
      </w:r>
      <w:r w:rsidRPr="00691065">
        <w:rPr>
          <w:i/>
          <w:iCs/>
        </w:rPr>
        <w:t>R</w:t>
      </w:r>
      <w:r w:rsidR="002536BA" w:rsidRPr="00691065">
        <w:rPr>
          <w:i/>
          <w:iCs/>
        </w:rPr>
        <w:t xml:space="preserve">espect at </w:t>
      </w:r>
      <w:r w:rsidRPr="00691065">
        <w:rPr>
          <w:i/>
          <w:iCs/>
        </w:rPr>
        <w:t>W</w:t>
      </w:r>
      <w:r w:rsidR="002536BA" w:rsidRPr="00691065">
        <w:rPr>
          <w:i/>
          <w:iCs/>
        </w:rPr>
        <w:t>ork</w:t>
      </w:r>
      <w:r w:rsidRPr="00691065">
        <w:rPr>
          <w:i/>
          <w:iCs/>
        </w:rPr>
        <w:t xml:space="preserve"> </w:t>
      </w:r>
      <w:r w:rsidR="00B93A04" w:rsidRPr="00691065">
        <w:rPr>
          <w:i/>
          <w:iCs/>
        </w:rPr>
        <w:t xml:space="preserve">and Other </w:t>
      </w:r>
      <w:r w:rsidR="0027209F" w:rsidRPr="00691065">
        <w:rPr>
          <w:i/>
          <w:iCs/>
        </w:rPr>
        <w:t xml:space="preserve">Matters Amendment </w:t>
      </w:r>
      <w:r w:rsidRPr="00691065">
        <w:rPr>
          <w:i/>
          <w:iCs/>
        </w:rPr>
        <w:t>Act</w:t>
      </w:r>
      <w:r w:rsidR="0027209F" w:rsidRPr="00691065">
        <w:rPr>
          <w:i/>
          <w:iCs/>
        </w:rPr>
        <w:t xml:space="preserve"> 2024</w:t>
      </w:r>
      <w:r w:rsidR="0027209F">
        <w:t xml:space="preserve"> (</w:t>
      </w:r>
      <w:r>
        <w:t>RAW Act</w:t>
      </w:r>
      <w:r w:rsidR="0027209F">
        <w:t>)</w:t>
      </w:r>
      <w:r>
        <w:t xml:space="preserve"> amend</w:t>
      </w:r>
      <w:r w:rsidR="0027131A">
        <w:t>ed</w:t>
      </w:r>
      <w:r>
        <w:t xml:space="preserve"> the ADA to introduce a new attribute to prevent discrimination against a person based on a combination of two or more of any other attributes protected under the ADA. </w:t>
      </w:r>
      <w:r w:rsidR="0027131A">
        <w:t>S</w:t>
      </w:r>
      <w:r>
        <w:t xml:space="preserve">ection 8(2) </w:t>
      </w:r>
      <w:r w:rsidR="0027131A">
        <w:t>p</w:t>
      </w:r>
      <w:r w:rsidR="0022054D">
        <w:t>rovide</w:t>
      </w:r>
      <w:r w:rsidR="0027131A">
        <w:t>s</w:t>
      </w:r>
      <w:r w:rsidR="0022054D">
        <w:t xml:space="preserve"> that</w:t>
      </w:r>
      <w:r>
        <w:t xml:space="preserve"> discrimination </w:t>
      </w:r>
      <w:r w:rsidR="009149D8">
        <w:t>where a person</w:t>
      </w:r>
      <w:r>
        <w:t xml:space="preserve"> has two or more attributes includes discrimination in relation to:</w:t>
      </w:r>
    </w:p>
    <w:p w14:paraId="643BF217" w14:textId="77777777" w:rsidR="00721B0C" w:rsidRDefault="00721B0C" w:rsidP="00721B0C">
      <w:pPr>
        <w:pStyle w:val="QIDANParagraph"/>
        <w:numPr>
          <w:ilvl w:val="0"/>
          <w:numId w:val="11"/>
        </w:numPr>
      </w:pPr>
      <w:r>
        <w:t>Any of the attributes</w:t>
      </w:r>
    </w:p>
    <w:p w14:paraId="6AC35896" w14:textId="77777777" w:rsidR="00721B0C" w:rsidRDefault="00721B0C" w:rsidP="00721B0C">
      <w:pPr>
        <w:pStyle w:val="QIDANParagraph"/>
        <w:numPr>
          <w:ilvl w:val="0"/>
          <w:numId w:val="11"/>
        </w:numPr>
      </w:pPr>
      <w:r>
        <w:t>Two or more of the attributes</w:t>
      </w:r>
    </w:p>
    <w:p w14:paraId="632A5279" w14:textId="77777777" w:rsidR="00721B0C" w:rsidRDefault="00721B0C" w:rsidP="00721B0C">
      <w:pPr>
        <w:pStyle w:val="QIDANParagraph"/>
        <w:numPr>
          <w:ilvl w:val="0"/>
          <w:numId w:val="11"/>
        </w:numPr>
      </w:pPr>
      <w:r>
        <w:t>The combined effect of two or more of the attributes.</w:t>
      </w:r>
    </w:p>
    <w:p w14:paraId="54A559F6" w14:textId="42FA5195" w:rsidR="00AB7DAA" w:rsidRDefault="00721B0C" w:rsidP="00AB7DAA">
      <w:r>
        <w:t>Citing intersectional discrimination only, the Review states that it appears section 7(4) intends to operate as a “catch all” protection where a person’s experience of discrimination does not nearly fit within two or more protected attributes. Further, the Review finds that the introduction of an undefined and uncertain new attribute (proposed section 7(4)) which would be defined by the particular facts of each individual matter</w:t>
      </w:r>
      <w:r w:rsidR="00A50BFC">
        <w:t>,</w:t>
      </w:r>
      <w:r>
        <w:t xml:space="preserve"> may be problematic. </w:t>
      </w:r>
      <w:r w:rsidR="00B2175A">
        <w:t>C</w:t>
      </w:r>
      <w:r>
        <w:t xml:space="preserve">ontrary to the Review’s interpretation, the explanatory notes to the </w:t>
      </w:r>
      <w:r w:rsidRPr="00DE3623">
        <w:rPr>
          <w:i/>
          <w:iCs/>
        </w:rPr>
        <w:t>Respect at Work and Other Matters Amendment Bill 2024</w:t>
      </w:r>
      <w:r>
        <w:rPr>
          <w:i/>
          <w:iCs/>
        </w:rPr>
        <w:t xml:space="preserve"> </w:t>
      </w:r>
      <w:r>
        <w:t xml:space="preserve">make it clear that the addition of the new protected attribute </w:t>
      </w:r>
      <w:r w:rsidRPr="00A17372">
        <w:t xml:space="preserve">captures </w:t>
      </w:r>
      <w:r>
        <w:t xml:space="preserve">both </w:t>
      </w:r>
      <w:r w:rsidRPr="00A17372">
        <w:t>intersectional and cumulative discrimination</w:t>
      </w:r>
      <w:r w:rsidR="00A15607">
        <w:t>.</w:t>
      </w:r>
      <w:r>
        <w:rPr>
          <w:rStyle w:val="FootnoteReference"/>
        </w:rPr>
        <w:footnoteReference w:id="7"/>
      </w:r>
      <w:r>
        <w:t xml:space="preserve"> </w:t>
      </w:r>
      <w:r w:rsidR="00A15607">
        <w:t xml:space="preserve">This </w:t>
      </w:r>
      <w:r w:rsidR="003F6CA8">
        <w:t>would protect</w:t>
      </w:r>
      <w:r>
        <w:t xml:space="preserve"> against</w:t>
      </w:r>
      <w:r w:rsidRPr="00A17372">
        <w:t xml:space="preserve"> discrimination </w:t>
      </w:r>
      <w:r>
        <w:t xml:space="preserve">based on both a combination of attributes which interact with each other in a way </w:t>
      </w:r>
      <w:r w:rsidRPr="00C478D2">
        <w:t>that results in a distinct and specific form of discrimination</w:t>
      </w:r>
      <w:r>
        <w:t>, and on two or more distinct grounds respectively.</w:t>
      </w:r>
      <w:r>
        <w:rPr>
          <w:rStyle w:val="FootnoteReference"/>
        </w:rPr>
        <w:footnoteReference w:id="8"/>
      </w:r>
      <w:r>
        <w:t xml:space="preserve"> </w:t>
      </w:r>
      <w:r w:rsidR="005B4C0D" w:rsidRPr="005B4C0D">
        <w:t xml:space="preserve">In our work we consistently hear from </w:t>
      </w:r>
      <w:r w:rsidR="005B4C0D">
        <w:t xml:space="preserve">First Nations </w:t>
      </w:r>
      <w:r w:rsidR="005B4C0D" w:rsidRPr="005B4C0D">
        <w:lastRenderedPageBreak/>
        <w:t xml:space="preserve">people with disability who experience this layered discrimination in their daily lives, across services, public spaces and systems that are meant to provide support. For example, an Aboriginal woman with disability seeking healthcare, experiences her concerns being dismissed or minimised, with assumptions made about her capacity, communication and credibility. Cultural ways of communicating, decision making and the role of family and kin are often not recognised or respected. These interactions occur within systems that have historically excluded and disadvantaged </w:t>
      </w:r>
      <w:r w:rsidR="00567E36">
        <w:t>First Nations</w:t>
      </w:r>
      <w:r w:rsidR="005B4C0D" w:rsidRPr="005B4C0D">
        <w:t xml:space="preserve"> people, meaning racism and ableism operate together creating unsafe environments, delaying care and contributing to poorer health outcomes over time</w:t>
      </w:r>
      <w:r w:rsidR="00B00960">
        <w:t xml:space="preserve"> due to their compounding impacts.</w:t>
      </w:r>
    </w:p>
    <w:p w14:paraId="69AADFF2" w14:textId="667927B4" w:rsidR="00721B0C" w:rsidRPr="005B559C" w:rsidRDefault="00721B0C" w:rsidP="00721B0C">
      <w:pPr>
        <w:pStyle w:val="QIDANParagraph"/>
        <w:rPr>
          <w:vanish/>
          <w:lang w:val="en-GB"/>
          <w:specVanish/>
        </w:rPr>
      </w:pPr>
      <w:r>
        <w:rPr>
          <w:lang w:val="en-GB"/>
        </w:rPr>
        <w:t>QIDAN</w:t>
      </w:r>
      <w:r w:rsidR="00E43F97">
        <w:rPr>
          <w:lang w:val="en-GB"/>
        </w:rPr>
        <w:t>’s position is that</w:t>
      </w:r>
      <w:r>
        <w:rPr>
          <w:lang w:val="en-GB"/>
        </w:rPr>
        <w:t xml:space="preserve"> the new attribute is critical for people with disability to clearly and adequately protect against the forms of discrimination experienced as a result of their intersecting layers of identity. </w:t>
      </w:r>
    </w:p>
    <w:p w14:paraId="5B5E27A5" w14:textId="30E2951D" w:rsidR="00721B0C" w:rsidRDefault="00721B0C" w:rsidP="00721B0C">
      <w:pPr>
        <w:pStyle w:val="QIDANParagraph"/>
        <w:rPr>
          <w:lang w:val="en-GB"/>
        </w:rPr>
      </w:pPr>
      <w:r>
        <w:rPr>
          <w:lang w:val="en-GB"/>
        </w:rPr>
        <w:t xml:space="preserve">While the Review appears to find </w:t>
      </w:r>
      <w:r w:rsidR="004C0D0E">
        <w:rPr>
          <w:lang w:val="en-GB"/>
        </w:rPr>
        <w:t>s</w:t>
      </w:r>
      <w:r>
        <w:rPr>
          <w:lang w:val="en-GB"/>
        </w:rPr>
        <w:t xml:space="preserve">ection 8(2) relatively uncontroversial, it is important to highlight that this section provides further clarity on the type of complaints that can be made where discrimination has been experienced on the basis of two or more attributes. That is, it acts as an additional safeguard to ensure that the gap that currently exists under the ADA does not continue to deepen but is unequivocally resolved. For people with disability in particular, when the two proposed amendments are taken together, it makes the complaints framework under the ADA </w:t>
      </w:r>
      <w:r w:rsidR="00BC7D26">
        <w:rPr>
          <w:lang w:val="en-GB"/>
        </w:rPr>
        <w:t>clearer and more accessible</w:t>
      </w:r>
      <w:r>
        <w:rPr>
          <w:lang w:val="en-GB"/>
        </w:rPr>
        <w:t>. QIDAN therefore strongly recommends that both of the proposed RAW Act amendments to the ADA</w:t>
      </w:r>
      <w:r w:rsidR="004C0D0E">
        <w:rPr>
          <w:lang w:val="en-GB"/>
        </w:rPr>
        <w:t xml:space="preserve"> are retained and commenced</w:t>
      </w:r>
      <w:r>
        <w:rPr>
          <w:lang w:val="en-GB"/>
        </w:rPr>
        <w:t xml:space="preserve">. </w:t>
      </w:r>
    </w:p>
    <w:p w14:paraId="27F81A41" w14:textId="77777777" w:rsidR="00273839" w:rsidRPr="00393882" w:rsidRDefault="00273839" w:rsidP="00CD4D99">
      <w:pPr>
        <w:pStyle w:val="Heading1"/>
      </w:pPr>
      <w:bookmarkStart w:id="11" w:name="_Toc244185128"/>
      <w:bookmarkStart w:id="12" w:name="_Toc244185252"/>
      <w:r>
        <w:t>The tests for discrimination must be clear, simple and inclusive</w:t>
      </w:r>
      <w:bookmarkEnd w:id="11"/>
      <w:bookmarkEnd w:id="12"/>
    </w:p>
    <w:p w14:paraId="7413F49F" w14:textId="77777777" w:rsidR="00273839" w:rsidRDefault="00273839" w:rsidP="00B62856">
      <w:pPr>
        <w:pStyle w:val="QIDANParagraph"/>
      </w:pPr>
      <w:r>
        <w:t>This section covers questions C10 and C11 of the Discussion Paper.</w:t>
      </w:r>
    </w:p>
    <w:p w14:paraId="0130E29F" w14:textId="36737C0E" w:rsidR="00BD4073" w:rsidRDefault="00273839" w:rsidP="001F7DC6">
      <w:pPr>
        <w:pStyle w:val="QIDANParagraph"/>
      </w:pPr>
      <w:r>
        <w:t>In QIDAN’s experience, the</w:t>
      </w:r>
      <w:r w:rsidR="00AB1B70">
        <w:t xml:space="preserve"> </w:t>
      </w:r>
      <w:r w:rsidR="001F7DC6">
        <w:t xml:space="preserve">hypothetical comparator </w:t>
      </w:r>
      <w:r>
        <w:t>test</w:t>
      </w:r>
      <w:r w:rsidR="008A271A">
        <w:t xml:space="preserve">s for discrimination </w:t>
      </w:r>
      <w:r w:rsidR="001F7DC6">
        <w:t>are</w:t>
      </w:r>
      <w:r>
        <w:t xml:space="preserve"> ambiguous and difficult to apply, especially for people with disability who have experienced intersectional discrimination or discrimination on the basis of multiple or combined attributes. </w:t>
      </w:r>
      <w:r w:rsidRPr="008411B9">
        <w:t>For example</w:t>
      </w:r>
      <w:r>
        <w:t xml:space="preserve">, where a person with disability from a </w:t>
      </w:r>
      <w:r w:rsidR="00365A3E">
        <w:t xml:space="preserve">CALD </w:t>
      </w:r>
      <w:r>
        <w:t xml:space="preserve">background is experiencing discrimination, the current test would require proving that a person without the same disability and from a different race would have been treated ‘more favourably’ in </w:t>
      </w:r>
      <w:r>
        <w:lastRenderedPageBreak/>
        <w:t>the exact same circumstances. The test becomes exponentially more difficult to prove when the discrimination has occurred because of the intersection of the two attributes, rather than ‘disability’ or ‘race’ alone.</w:t>
      </w:r>
      <w:r w:rsidR="003275CA">
        <w:t xml:space="preserve"> </w:t>
      </w:r>
    </w:p>
    <w:p w14:paraId="5995D6F2" w14:textId="331B7F7D" w:rsidR="00273839" w:rsidRPr="005501BF" w:rsidRDefault="001E1B80" w:rsidP="00273839">
      <w:pPr>
        <w:pStyle w:val="QIDANParagraph"/>
      </w:pPr>
      <w:r>
        <w:t>As previously mentioned, the current inaccessible</w:t>
      </w:r>
      <w:r w:rsidRPr="00C57288">
        <w:t xml:space="preserve"> complaints process for people with disability</w:t>
      </w:r>
      <w:r>
        <w:t xml:space="preserve"> is</w:t>
      </w:r>
      <w:r w:rsidR="00137B79">
        <w:t xml:space="preserve"> </w:t>
      </w:r>
      <w:r w:rsidR="00122E00">
        <w:t>exacerbated by</w:t>
      </w:r>
      <w:r w:rsidR="00273839" w:rsidRPr="00C57288">
        <w:t xml:space="preserve"> the existing tests for proving discrimination</w:t>
      </w:r>
      <w:r w:rsidR="00784DBB">
        <w:t>,</w:t>
      </w:r>
      <w:r w:rsidR="00273839" w:rsidRPr="00C57288">
        <w:t xml:space="preserve"> resulting in unnecessary and added stress during an already stressful process. In our view, by shifting the onus back to the </w:t>
      </w:r>
      <w:r w:rsidR="007713E5">
        <w:t xml:space="preserve">person subject </w:t>
      </w:r>
      <w:r w:rsidR="00667E73">
        <w:t>to</w:t>
      </w:r>
      <w:r w:rsidR="007713E5">
        <w:t xml:space="preserve"> the complaint</w:t>
      </w:r>
      <w:r w:rsidR="007713E5" w:rsidRPr="00C57288">
        <w:t xml:space="preserve"> </w:t>
      </w:r>
      <w:r w:rsidR="00273839" w:rsidRPr="00C57288">
        <w:t>to prove that their conduct was not discriminatory</w:t>
      </w:r>
      <w:r w:rsidR="00937BF9">
        <w:t xml:space="preserve"> </w:t>
      </w:r>
      <w:r w:rsidR="00937BF9" w:rsidRPr="00C57288">
        <w:t>offers a welcome level of reprieve for people with disability engaging in the complaints process</w:t>
      </w:r>
      <w:r w:rsidR="00937BF9">
        <w:t>, as</w:t>
      </w:r>
      <w:r w:rsidR="00937BF9" w:rsidRPr="00C57288">
        <w:t xml:space="preserve"> proposed</w:t>
      </w:r>
      <w:r w:rsidR="003169A3">
        <w:t xml:space="preserve"> in the</w:t>
      </w:r>
      <w:r w:rsidR="00937BF9" w:rsidRPr="00C57288">
        <w:t xml:space="preserve"> RAW</w:t>
      </w:r>
      <w:r w:rsidR="00784DBB">
        <w:t xml:space="preserve"> Act</w:t>
      </w:r>
      <w:r w:rsidRPr="00C57288">
        <w:t>.</w:t>
      </w:r>
      <w:r w:rsidR="00273839" w:rsidRPr="00C57288">
        <w:t xml:space="preserve"> In addition, the new provisions provide clarity by introducing a general burden of proof that applies to both direct and indirect discrimination, rather than separate tests. </w:t>
      </w:r>
    </w:p>
    <w:p w14:paraId="4F894550" w14:textId="6034E700" w:rsidR="00273839" w:rsidRDefault="00273839" w:rsidP="00273839">
      <w:pPr>
        <w:pStyle w:val="QIDANParagraph"/>
      </w:pPr>
      <w:r>
        <w:t xml:space="preserve">QIDAN therefore supports the new RAW definition of direct discrimination in the ADA and changing the current burden of proof to a shifting burden of proof for indirect and direct discrimination, both of which align with the </w:t>
      </w:r>
      <w:r w:rsidR="00EE6E34">
        <w:t>DRC recommendation 4.23</w:t>
      </w:r>
      <w:r>
        <w:t>.</w:t>
      </w:r>
    </w:p>
    <w:p w14:paraId="71C0AC81" w14:textId="5B6CB43A" w:rsidR="006B3224" w:rsidRDefault="00273839" w:rsidP="00B7520C">
      <w:pPr>
        <w:pStyle w:val="QIDANParagraph"/>
        <w:spacing w:after="0"/>
      </w:pPr>
      <w:r>
        <w:t xml:space="preserve">QIDAN commends the new RAW definition of ‘indirect discrimination’ for its removal of the comparator. </w:t>
      </w:r>
      <w:r w:rsidR="00F27CA9">
        <w:t>Further</w:t>
      </w:r>
      <w:r w:rsidR="00E32EC8">
        <w:t xml:space="preserve"> to this, </w:t>
      </w:r>
      <w:r>
        <w:t xml:space="preserve">the reasonableness element should </w:t>
      </w:r>
      <w:r w:rsidR="00E32EC8">
        <w:t xml:space="preserve">also </w:t>
      </w:r>
      <w:r>
        <w:t>be removed</w:t>
      </w:r>
      <w:r w:rsidR="006B3224">
        <w:t xml:space="preserve"> </w:t>
      </w:r>
      <w:r w:rsidR="006B3224">
        <w:rPr>
          <w:lang w:val="en-GB"/>
        </w:rPr>
        <w:t xml:space="preserve">to </w:t>
      </w:r>
      <w:r w:rsidR="006B3224" w:rsidRPr="005A43AD">
        <w:rPr>
          <w:lang w:val="en-GB"/>
        </w:rPr>
        <w:t>make the test more objective and less subjective with what appears to be implicit excuses and defences for discriminatory actions.</w:t>
      </w:r>
      <w:r w:rsidR="006B3224">
        <w:rPr>
          <w:lang w:val="en-GB"/>
        </w:rPr>
        <w:t xml:space="preserve"> </w:t>
      </w:r>
      <w:r w:rsidR="006B3224">
        <w:t>The DRC examined the reasonableness element of indirect discrimination; recommendation 4.24 of the Final Report recommended replacing it with a test based on unjustifiable hardship.</w:t>
      </w:r>
      <w:r w:rsidR="006B3224">
        <w:rPr>
          <w:rStyle w:val="FootnoteReference"/>
        </w:rPr>
        <w:footnoteReference w:id="9"/>
      </w:r>
      <w:r w:rsidR="006B3224">
        <w:t xml:space="preserve"> QIDAN therefore recommends the ADA provisions regarding indirect discrimination are further amended, to: </w:t>
      </w:r>
    </w:p>
    <w:p w14:paraId="07A6D02C" w14:textId="77777777" w:rsidR="006B3224" w:rsidRDefault="006B3224" w:rsidP="00B7520C">
      <w:pPr>
        <w:pStyle w:val="QIDANParagraph"/>
        <w:numPr>
          <w:ilvl w:val="0"/>
          <w:numId w:val="23"/>
        </w:numPr>
        <w:spacing w:after="0"/>
        <w:ind w:left="714" w:hanging="357"/>
      </w:pPr>
      <w:r>
        <w:t>define indirect discrimination as a requirement to comply with a condition or practice which disadvantages a person with an attribute</w:t>
      </w:r>
    </w:p>
    <w:p w14:paraId="258CCC7A" w14:textId="77777777" w:rsidR="006B3224" w:rsidRDefault="006B3224" w:rsidP="006B3224">
      <w:pPr>
        <w:pStyle w:val="QIDANParagraph"/>
        <w:numPr>
          <w:ilvl w:val="0"/>
          <w:numId w:val="23"/>
        </w:numPr>
      </w:pPr>
      <w:r>
        <w:t xml:space="preserve">remove the reasonableness element, and </w:t>
      </w:r>
    </w:p>
    <w:p w14:paraId="258D2968" w14:textId="77777777" w:rsidR="006B3224" w:rsidRDefault="006B3224" w:rsidP="006B3224">
      <w:pPr>
        <w:pStyle w:val="QIDANParagraph"/>
        <w:numPr>
          <w:ilvl w:val="0"/>
          <w:numId w:val="23"/>
        </w:numPr>
      </w:pPr>
      <w:r>
        <w:t xml:space="preserve">provide that unjustifiable hardship is the only exception or defence. </w:t>
      </w:r>
    </w:p>
    <w:p w14:paraId="612830B7" w14:textId="747ED32E" w:rsidR="00273839" w:rsidRPr="00393882" w:rsidRDefault="00273839" w:rsidP="00CD4D99">
      <w:pPr>
        <w:pStyle w:val="Heading1"/>
      </w:pPr>
      <w:bookmarkStart w:id="13" w:name="_Toc244185129"/>
      <w:bookmarkStart w:id="14" w:name="_Toc244185253"/>
      <w:r>
        <w:lastRenderedPageBreak/>
        <w:t xml:space="preserve">The time for the implementation of a </w:t>
      </w:r>
      <w:r w:rsidR="004346B7">
        <w:t>p</w:t>
      </w:r>
      <w:r>
        <w:t xml:space="preserve">ositive </w:t>
      </w:r>
      <w:r w:rsidR="004346B7">
        <w:t>d</w:t>
      </w:r>
      <w:r>
        <w:t>uty is now</w:t>
      </w:r>
      <w:bookmarkEnd w:id="13"/>
      <w:bookmarkEnd w:id="14"/>
    </w:p>
    <w:p w14:paraId="5DE1C108" w14:textId="6EBBECB9" w:rsidR="00273839" w:rsidRDefault="00273839" w:rsidP="00B62856">
      <w:pPr>
        <w:pStyle w:val="QIDANParagraph"/>
      </w:pPr>
      <w:r>
        <w:t>This section covers question</w:t>
      </w:r>
      <w:r w:rsidR="004E2353">
        <w:t>s</w:t>
      </w:r>
      <w:r>
        <w:t xml:space="preserve"> C12 and C13 of the Discussion Paper.</w:t>
      </w:r>
    </w:p>
    <w:p w14:paraId="1A2B4048" w14:textId="1305D15F" w:rsidR="00FD1508" w:rsidRDefault="00273839" w:rsidP="00273839">
      <w:pPr>
        <w:pStyle w:val="QIDANParagraph"/>
        <w:rPr>
          <w:lang w:val="en-GB"/>
        </w:rPr>
      </w:pPr>
      <w:r>
        <w:t>QIDAN welcomes the RAW amendments to establish a positive duty</w:t>
      </w:r>
      <w:r w:rsidRPr="002E4DE0">
        <w:rPr>
          <w:lang w:val="en-GB"/>
        </w:rPr>
        <w:t xml:space="preserve"> to eliminate discrimination</w:t>
      </w:r>
      <w:r w:rsidR="00CC579C">
        <w:rPr>
          <w:lang w:val="en-GB"/>
        </w:rPr>
        <w:t xml:space="preserve"> and </w:t>
      </w:r>
      <w:r w:rsidRPr="002E4DE0">
        <w:rPr>
          <w:lang w:val="en-GB"/>
        </w:rPr>
        <w:t>other objectionable conduct</w:t>
      </w:r>
      <w:r>
        <w:rPr>
          <w:lang w:val="en-GB"/>
        </w:rPr>
        <w:t xml:space="preserve"> under the ADA. </w:t>
      </w:r>
      <w:r w:rsidR="00757DF7">
        <w:rPr>
          <w:lang w:val="en-GB"/>
        </w:rPr>
        <w:t>Shifting from Queensland’s current reactive approach to discrimination towards a more proactive model is essential to the prevention and elimination of systemic barriers for people with disability.</w:t>
      </w:r>
    </w:p>
    <w:p w14:paraId="23EDDB65" w14:textId="27728A70" w:rsidR="00A15F8F" w:rsidRDefault="00A15F8F" w:rsidP="00273839">
      <w:pPr>
        <w:pStyle w:val="QIDANParagraph"/>
        <w:rPr>
          <w:lang w:val="en-GB"/>
        </w:rPr>
      </w:pPr>
      <w:r>
        <w:rPr>
          <w:lang w:val="en-GB"/>
        </w:rPr>
        <w:t>As a result of the submissions and findings of previous reviews of both Australian and Queensland human rights and anti-discrimination frameworks, the Review is highly cognisant of the overwhelming benefits of the positive duty and the strong support for its implementation</w:t>
      </w:r>
      <w:r w:rsidR="00FC32FF">
        <w:rPr>
          <w:lang w:val="en-GB"/>
        </w:rPr>
        <w:t>. Yet, it</w:t>
      </w:r>
      <w:r>
        <w:rPr>
          <w:lang w:val="en-GB"/>
        </w:rPr>
        <w:t xml:space="preserve"> has expressed a preliminary view that implementation should be further delayed due to concerns about the regulatory model and burden of compliance.</w:t>
      </w:r>
    </w:p>
    <w:p w14:paraId="38B746F8" w14:textId="09845329" w:rsidR="00273839" w:rsidRDefault="00A15F8F" w:rsidP="00273839">
      <w:pPr>
        <w:pStyle w:val="QIDANParagraph"/>
        <w:rPr>
          <w:lang w:val="en-GB"/>
        </w:rPr>
      </w:pPr>
      <w:r>
        <w:rPr>
          <w:lang w:val="en-GB"/>
        </w:rPr>
        <w:t>QIDAN strongly urges the Review to consider the implementation of a positive duty under the ADA as a matter of priority</w:t>
      </w:r>
      <w:r w:rsidR="00F0630C">
        <w:rPr>
          <w:lang w:val="en-GB"/>
        </w:rPr>
        <w:t xml:space="preserve"> and </w:t>
      </w:r>
      <w:r w:rsidR="00EA3BB8">
        <w:rPr>
          <w:lang w:val="en-GB"/>
        </w:rPr>
        <w:t>not delay it</w:t>
      </w:r>
      <w:r w:rsidR="00F0630C">
        <w:rPr>
          <w:lang w:val="en-GB"/>
        </w:rPr>
        <w:t xml:space="preserve"> any further: </w:t>
      </w:r>
      <w:r w:rsidR="00273839">
        <w:rPr>
          <w:lang w:val="en-GB"/>
        </w:rPr>
        <w:t>i</w:t>
      </w:r>
      <w:r w:rsidR="00D8623B">
        <w:rPr>
          <w:lang w:val="en-GB"/>
        </w:rPr>
        <w:t>f</w:t>
      </w:r>
      <w:r w:rsidR="00273839">
        <w:rPr>
          <w:lang w:val="en-GB"/>
        </w:rPr>
        <w:t xml:space="preserve"> not now, then when?  </w:t>
      </w:r>
    </w:p>
    <w:p w14:paraId="30C87E16" w14:textId="6DFFCD4A" w:rsidR="00E72794" w:rsidRDefault="00AC10C3" w:rsidP="00E72794">
      <w:pPr>
        <w:pStyle w:val="QIDANParagraph"/>
        <w:rPr>
          <w:lang w:val="en-GB"/>
        </w:rPr>
      </w:pPr>
      <w:r>
        <w:rPr>
          <w:lang w:val="en-GB"/>
        </w:rPr>
        <w:t>QIDAN advocates spend a significant amount of time supporting people with</w:t>
      </w:r>
      <w:r w:rsidR="003B4A4D">
        <w:rPr>
          <w:lang w:val="en-GB"/>
        </w:rPr>
        <w:t xml:space="preserve"> navigate </w:t>
      </w:r>
      <w:r w:rsidR="00A36589">
        <w:rPr>
          <w:lang w:val="en-GB"/>
        </w:rPr>
        <w:t>situations of</w:t>
      </w:r>
      <w:r>
        <w:rPr>
          <w:lang w:val="en-GB"/>
        </w:rPr>
        <w:t xml:space="preserve"> discrimination and </w:t>
      </w:r>
      <w:r w:rsidR="00A36589">
        <w:rPr>
          <w:lang w:val="en-GB"/>
        </w:rPr>
        <w:t xml:space="preserve">breach of their </w:t>
      </w:r>
      <w:r>
        <w:rPr>
          <w:lang w:val="en-GB"/>
        </w:rPr>
        <w:t>human right</w:t>
      </w:r>
      <w:r w:rsidR="00A36589">
        <w:rPr>
          <w:lang w:val="en-GB"/>
        </w:rPr>
        <w:t>s</w:t>
      </w:r>
      <w:r>
        <w:rPr>
          <w:lang w:val="en-GB"/>
        </w:rPr>
        <w:t xml:space="preserve">, </w:t>
      </w:r>
      <w:r w:rsidR="00655481">
        <w:rPr>
          <w:lang w:val="en-GB"/>
        </w:rPr>
        <w:t>many of which could be avoided by the implementation of a positive duty</w:t>
      </w:r>
      <w:r>
        <w:rPr>
          <w:lang w:val="en-GB"/>
        </w:rPr>
        <w:t xml:space="preserve">. </w:t>
      </w:r>
      <w:r w:rsidR="00CD081E">
        <w:rPr>
          <w:lang w:val="en-GB"/>
        </w:rPr>
        <w:t>A common issue is</w:t>
      </w:r>
      <w:r>
        <w:rPr>
          <w:lang w:val="en-GB"/>
        </w:rPr>
        <w:t xml:space="preserve"> education provider</w:t>
      </w:r>
      <w:r w:rsidR="00CD1B26">
        <w:rPr>
          <w:lang w:val="en-GB"/>
        </w:rPr>
        <w:t>s failing</w:t>
      </w:r>
      <w:r>
        <w:rPr>
          <w:lang w:val="en-GB"/>
        </w:rPr>
        <w:t xml:space="preserve"> to implement reasonable adjustments for child</w:t>
      </w:r>
      <w:r w:rsidR="00491C92">
        <w:rPr>
          <w:lang w:val="en-GB"/>
        </w:rPr>
        <w:t>ren</w:t>
      </w:r>
      <w:r>
        <w:rPr>
          <w:lang w:val="en-GB"/>
        </w:rPr>
        <w:t xml:space="preserve"> or young pe</w:t>
      </w:r>
      <w:r w:rsidR="00491C92">
        <w:rPr>
          <w:lang w:val="en-GB"/>
        </w:rPr>
        <w:t>ople</w:t>
      </w:r>
      <w:r>
        <w:rPr>
          <w:lang w:val="en-GB"/>
        </w:rPr>
        <w:t xml:space="preserve"> </w:t>
      </w:r>
      <w:r w:rsidR="003E4DA4">
        <w:rPr>
          <w:lang w:val="en-GB"/>
        </w:rPr>
        <w:t>with disability</w:t>
      </w:r>
      <w:r w:rsidR="00491C92">
        <w:rPr>
          <w:lang w:val="en-GB"/>
        </w:rPr>
        <w:t xml:space="preserve">, </w:t>
      </w:r>
      <w:r w:rsidR="00CD081E">
        <w:rPr>
          <w:lang w:val="en-GB"/>
        </w:rPr>
        <w:t xml:space="preserve">which </w:t>
      </w:r>
      <w:r w:rsidR="00491C92">
        <w:rPr>
          <w:lang w:val="en-GB"/>
        </w:rPr>
        <w:t>often result</w:t>
      </w:r>
      <w:r w:rsidR="00CD081E">
        <w:rPr>
          <w:lang w:val="en-GB"/>
        </w:rPr>
        <w:t>s</w:t>
      </w:r>
      <w:r w:rsidR="00491C92">
        <w:rPr>
          <w:lang w:val="en-GB"/>
        </w:rPr>
        <w:t xml:space="preserve"> </w:t>
      </w:r>
      <w:r>
        <w:rPr>
          <w:lang w:val="en-GB"/>
        </w:rPr>
        <w:t xml:space="preserve">in adverse behaviour, disengagement from learning and eventually exclusion. </w:t>
      </w:r>
      <w:r w:rsidR="00E72794">
        <w:rPr>
          <w:lang w:val="en-GB"/>
        </w:rPr>
        <w:t xml:space="preserve">Queensland Advocacy for Inclusion, a QIDAN member organisation, leads the </w:t>
      </w:r>
      <w:hyperlink r:id="rId15" w:history="1">
        <w:r w:rsidR="00E72794" w:rsidRPr="00350C44">
          <w:rPr>
            <w:rStyle w:val="Hyperlink"/>
            <w:lang w:val="en-GB"/>
          </w:rPr>
          <w:t>A Right to Learn Campaign</w:t>
        </w:r>
      </w:hyperlink>
      <w:r w:rsidR="00E72794">
        <w:rPr>
          <w:lang w:val="en-GB"/>
        </w:rPr>
        <w:t>, a coalition of community organisations and support services</w:t>
      </w:r>
      <w:r w:rsidR="00C95DF6">
        <w:rPr>
          <w:lang w:val="en-GB"/>
        </w:rPr>
        <w:t xml:space="preserve"> </w:t>
      </w:r>
      <w:r w:rsidR="00E72794">
        <w:rPr>
          <w:lang w:val="en-GB"/>
        </w:rPr>
        <w:t xml:space="preserve">calling on the Queensland Government to make suspensions of children with disability a last resort. </w:t>
      </w:r>
      <w:r w:rsidR="00916823">
        <w:rPr>
          <w:lang w:val="en-GB"/>
        </w:rPr>
        <w:t xml:space="preserve">An </w:t>
      </w:r>
      <w:hyperlink r:id="rId16" w:history="1">
        <w:r w:rsidR="00472632">
          <w:rPr>
            <w:rStyle w:val="Hyperlink"/>
            <w:lang w:val="en-GB"/>
          </w:rPr>
          <w:t>i</w:t>
        </w:r>
        <w:r w:rsidR="00E72794" w:rsidRPr="00301789">
          <w:rPr>
            <w:rStyle w:val="Hyperlink"/>
            <w:lang w:val="en-GB"/>
          </w:rPr>
          <w:t>ndependent economic analysis</w:t>
        </w:r>
      </w:hyperlink>
      <w:r w:rsidR="00E72794">
        <w:rPr>
          <w:lang w:val="en-GB"/>
        </w:rPr>
        <w:t xml:space="preserve"> </w:t>
      </w:r>
      <w:r w:rsidR="006B74D1">
        <w:rPr>
          <w:lang w:val="en-GB"/>
        </w:rPr>
        <w:t xml:space="preserve">of </w:t>
      </w:r>
      <w:r w:rsidR="004A2C67">
        <w:rPr>
          <w:lang w:val="en-GB"/>
        </w:rPr>
        <w:t xml:space="preserve">school suspension </w:t>
      </w:r>
      <w:r w:rsidR="00472632">
        <w:rPr>
          <w:lang w:val="en-GB"/>
        </w:rPr>
        <w:t>commissioned by QAI for the campaign found that in 2023</w:t>
      </w:r>
      <w:r w:rsidR="007D1ACE">
        <w:rPr>
          <w:lang w:val="en-GB"/>
        </w:rPr>
        <w:t xml:space="preserve">, </w:t>
      </w:r>
      <w:r w:rsidR="00E74F53">
        <w:rPr>
          <w:lang w:val="en-GB"/>
        </w:rPr>
        <w:t xml:space="preserve">the annual cost of </w:t>
      </w:r>
      <w:r w:rsidR="0053278D">
        <w:rPr>
          <w:lang w:val="en-GB"/>
        </w:rPr>
        <w:t xml:space="preserve">suspensions </w:t>
      </w:r>
      <w:r w:rsidR="00E74F53">
        <w:rPr>
          <w:lang w:val="en-GB"/>
        </w:rPr>
        <w:t xml:space="preserve">was </w:t>
      </w:r>
      <w:r w:rsidR="0053278D">
        <w:rPr>
          <w:lang w:val="en-GB"/>
        </w:rPr>
        <w:t>over $14</w:t>
      </w:r>
      <w:r w:rsidR="007836CA">
        <w:rPr>
          <w:lang w:val="en-GB"/>
        </w:rPr>
        <w:t xml:space="preserve"> </w:t>
      </w:r>
      <w:r w:rsidR="00552F15">
        <w:rPr>
          <w:lang w:val="en-GB"/>
        </w:rPr>
        <w:t>million</w:t>
      </w:r>
      <w:r w:rsidR="007836CA">
        <w:rPr>
          <w:lang w:val="en-GB"/>
        </w:rPr>
        <w:t xml:space="preserve"> </w:t>
      </w:r>
      <w:r w:rsidR="00E74F53">
        <w:rPr>
          <w:lang w:val="en-GB"/>
        </w:rPr>
        <w:t xml:space="preserve">for </w:t>
      </w:r>
      <w:r w:rsidR="0053278D">
        <w:rPr>
          <w:lang w:val="en-GB"/>
        </w:rPr>
        <w:t xml:space="preserve">parents and carers </w:t>
      </w:r>
      <w:r w:rsidR="007836CA">
        <w:rPr>
          <w:lang w:val="en-GB"/>
        </w:rPr>
        <w:t xml:space="preserve">and </w:t>
      </w:r>
      <w:r w:rsidR="00E74F53">
        <w:rPr>
          <w:lang w:val="en-GB"/>
        </w:rPr>
        <w:t xml:space="preserve">up to $10 million </w:t>
      </w:r>
      <w:r w:rsidR="00E44A3E">
        <w:rPr>
          <w:lang w:val="en-GB"/>
        </w:rPr>
        <w:t xml:space="preserve">for </w:t>
      </w:r>
      <w:r w:rsidR="007836CA">
        <w:rPr>
          <w:lang w:val="en-GB"/>
        </w:rPr>
        <w:t>the youth justice system</w:t>
      </w:r>
      <w:r w:rsidR="00E44A3E">
        <w:rPr>
          <w:lang w:val="en-GB"/>
        </w:rPr>
        <w:t>.</w:t>
      </w:r>
      <w:r w:rsidR="00A36068">
        <w:rPr>
          <w:lang w:val="en-GB"/>
        </w:rPr>
        <w:t xml:space="preserve"> </w:t>
      </w:r>
    </w:p>
    <w:p w14:paraId="3877F77B" w14:textId="4EFF8A34" w:rsidR="00ED5237" w:rsidRDefault="00245BF2" w:rsidP="00721B0C">
      <w:pPr>
        <w:pStyle w:val="QIDANParagraph"/>
        <w:rPr>
          <w:lang w:val="en-GB"/>
        </w:rPr>
      </w:pPr>
      <w:r>
        <w:rPr>
          <w:lang w:val="en-GB"/>
        </w:rPr>
        <w:t>These costs—which have undoubtably continued to rise</w:t>
      </w:r>
      <w:r w:rsidR="00287088">
        <w:rPr>
          <w:lang w:val="en-GB"/>
        </w:rPr>
        <w:t xml:space="preserve">—represent just </w:t>
      </w:r>
      <w:r w:rsidR="00A57214">
        <w:rPr>
          <w:lang w:val="en-GB"/>
        </w:rPr>
        <w:t xml:space="preserve">one </w:t>
      </w:r>
      <w:r w:rsidR="00287088">
        <w:rPr>
          <w:lang w:val="en-GB"/>
        </w:rPr>
        <w:t xml:space="preserve">part of </w:t>
      </w:r>
      <w:r w:rsidR="00B85013">
        <w:rPr>
          <w:lang w:val="en-GB"/>
        </w:rPr>
        <w:t>the current</w:t>
      </w:r>
      <w:r w:rsidR="00A57214">
        <w:rPr>
          <w:lang w:val="en-GB"/>
        </w:rPr>
        <w:t xml:space="preserve"> financial </w:t>
      </w:r>
      <w:r w:rsidR="00B85013">
        <w:rPr>
          <w:lang w:val="en-GB"/>
        </w:rPr>
        <w:t xml:space="preserve">impact </w:t>
      </w:r>
      <w:r w:rsidR="00A57214">
        <w:rPr>
          <w:lang w:val="en-GB"/>
        </w:rPr>
        <w:t>of our reactive anti-discrimination framework</w:t>
      </w:r>
      <w:r w:rsidR="00E25D95">
        <w:rPr>
          <w:lang w:val="en-GB"/>
        </w:rPr>
        <w:t xml:space="preserve"> on families and communities</w:t>
      </w:r>
      <w:r w:rsidR="00A57214">
        <w:rPr>
          <w:lang w:val="en-GB"/>
        </w:rPr>
        <w:t xml:space="preserve">. </w:t>
      </w:r>
      <w:r w:rsidR="00E72794">
        <w:rPr>
          <w:lang w:val="en-GB"/>
        </w:rPr>
        <w:t xml:space="preserve">While QIDAN understands that there has been no cost benefit analysis for </w:t>
      </w:r>
      <w:r w:rsidR="00E72794">
        <w:rPr>
          <w:lang w:val="en-GB"/>
        </w:rPr>
        <w:lastRenderedPageBreak/>
        <w:t>implementation of the positive duty as proposed by the RAW amendments,</w:t>
      </w:r>
      <w:r w:rsidR="00E72794">
        <w:rPr>
          <w:rStyle w:val="FootnoteReference"/>
          <w:lang w:val="en-GB"/>
        </w:rPr>
        <w:footnoteReference w:id="10"/>
      </w:r>
      <w:r w:rsidR="00E72794">
        <w:rPr>
          <w:lang w:val="en-GB"/>
        </w:rPr>
        <w:t xml:space="preserve"> we do not believe that cost is a sound excuse to reasonably delay the implementation of a positive duty when the cost of not implementing the duty is far greater for people </w:t>
      </w:r>
      <w:r w:rsidR="00210357">
        <w:rPr>
          <w:lang w:val="en-GB"/>
        </w:rPr>
        <w:t xml:space="preserve">with disability </w:t>
      </w:r>
      <w:r w:rsidR="00E72794">
        <w:rPr>
          <w:lang w:val="en-GB"/>
        </w:rPr>
        <w:t>experiencing discrimination</w:t>
      </w:r>
      <w:r w:rsidR="00210357">
        <w:rPr>
          <w:lang w:val="en-GB"/>
        </w:rPr>
        <w:t>.</w:t>
      </w:r>
    </w:p>
    <w:p w14:paraId="5276A3AC" w14:textId="16982974" w:rsidR="00ED5237" w:rsidRDefault="00936347" w:rsidP="00ED5237">
      <w:pPr>
        <w:pStyle w:val="QIDANParagraph"/>
        <w:rPr>
          <w:lang w:val="en-GB"/>
        </w:rPr>
      </w:pPr>
      <w:r>
        <w:rPr>
          <w:lang w:val="en-GB"/>
        </w:rPr>
        <w:t xml:space="preserve">In relation to </w:t>
      </w:r>
      <w:r w:rsidR="008573B9">
        <w:rPr>
          <w:lang w:val="en-GB"/>
        </w:rPr>
        <w:t xml:space="preserve">responsibility for </w:t>
      </w:r>
      <w:r w:rsidR="00BB22FC">
        <w:rPr>
          <w:lang w:val="en-GB"/>
        </w:rPr>
        <w:t>enforcing</w:t>
      </w:r>
      <w:r w:rsidR="00E760E6">
        <w:rPr>
          <w:lang w:val="en-GB"/>
        </w:rPr>
        <w:t xml:space="preserve"> </w:t>
      </w:r>
      <w:r>
        <w:rPr>
          <w:lang w:val="en-GB"/>
        </w:rPr>
        <w:t>compliance</w:t>
      </w:r>
      <w:r w:rsidR="00E760E6">
        <w:rPr>
          <w:lang w:val="en-GB"/>
        </w:rPr>
        <w:t xml:space="preserve"> with a positive duty, t</w:t>
      </w:r>
      <w:r w:rsidR="00A11671">
        <w:rPr>
          <w:lang w:val="en-GB"/>
        </w:rPr>
        <w:t xml:space="preserve">he Discussion Paper notes concerns </w:t>
      </w:r>
      <w:r>
        <w:rPr>
          <w:lang w:val="en-GB"/>
        </w:rPr>
        <w:t>about the QHRC “</w:t>
      </w:r>
      <w:r w:rsidRPr="00936347">
        <w:rPr>
          <w:lang w:val="en-GB"/>
        </w:rPr>
        <w:t>taking on a regulatory function with what was described as being ‘quasi-judicial’ investigation and enforcement powers</w:t>
      </w:r>
      <w:r>
        <w:rPr>
          <w:lang w:val="en-GB"/>
        </w:rPr>
        <w:t>”</w:t>
      </w:r>
      <w:r w:rsidR="007E78BB">
        <w:rPr>
          <w:lang w:val="en-GB"/>
        </w:rPr>
        <w:t>.</w:t>
      </w:r>
      <w:r w:rsidR="002D4985">
        <w:rPr>
          <w:rStyle w:val="FootnoteReference"/>
          <w:lang w:val="en-GB"/>
        </w:rPr>
        <w:footnoteReference w:id="11"/>
      </w:r>
      <w:r w:rsidR="008573B9" w:rsidDel="00776EDE">
        <w:rPr>
          <w:lang w:val="en-GB"/>
        </w:rPr>
        <w:t xml:space="preserve"> </w:t>
      </w:r>
      <w:r w:rsidR="001E1F28">
        <w:rPr>
          <w:lang w:val="en-GB"/>
        </w:rPr>
        <w:t>In our</w:t>
      </w:r>
      <w:r w:rsidR="00ED5237">
        <w:rPr>
          <w:lang w:val="en-GB"/>
        </w:rPr>
        <w:t xml:space="preserve"> view</w:t>
      </w:r>
      <w:r w:rsidR="00164F8E">
        <w:rPr>
          <w:lang w:val="en-GB"/>
        </w:rPr>
        <w:t xml:space="preserve">, </w:t>
      </w:r>
      <w:r w:rsidR="00ED5237">
        <w:rPr>
          <w:lang w:val="en-GB"/>
        </w:rPr>
        <w:t>the QHRC is the most qualified body to adopt the regulatory position</w:t>
      </w:r>
      <w:r w:rsidR="001B2DBC">
        <w:rPr>
          <w:lang w:val="en-GB"/>
        </w:rPr>
        <w:t xml:space="preserve"> and </w:t>
      </w:r>
      <w:r w:rsidR="00B22AC9">
        <w:rPr>
          <w:lang w:val="en-GB"/>
        </w:rPr>
        <w:t xml:space="preserve">to give the enforcement function, </w:t>
      </w:r>
      <w:r w:rsidR="00ED5237">
        <w:rPr>
          <w:lang w:val="en-GB"/>
        </w:rPr>
        <w:t>ensur</w:t>
      </w:r>
      <w:r w:rsidR="00B22AC9">
        <w:rPr>
          <w:lang w:val="en-GB"/>
        </w:rPr>
        <w:t>ing</w:t>
      </w:r>
      <w:r w:rsidR="00ED5237">
        <w:rPr>
          <w:lang w:val="en-GB"/>
        </w:rPr>
        <w:t xml:space="preserve"> the duty is implemented by those that are well experienced in disability rights and the handling of discrimination complaints. </w:t>
      </w:r>
      <w:r w:rsidR="00753902">
        <w:rPr>
          <w:lang w:val="en-GB"/>
        </w:rPr>
        <w:t xml:space="preserve">This </w:t>
      </w:r>
      <w:r w:rsidR="00ED5237">
        <w:rPr>
          <w:lang w:val="en-GB"/>
        </w:rPr>
        <w:t>point</w:t>
      </w:r>
      <w:r w:rsidR="00753902">
        <w:rPr>
          <w:lang w:val="en-GB"/>
        </w:rPr>
        <w:t xml:space="preserve"> seems to be</w:t>
      </w:r>
      <w:r w:rsidR="00ED5237">
        <w:rPr>
          <w:lang w:val="en-GB"/>
        </w:rPr>
        <w:t xml:space="preserve"> relatively uncontroversial</w:t>
      </w:r>
      <w:r w:rsidR="00753902">
        <w:rPr>
          <w:lang w:val="en-GB"/>
        </w:rPr>
        <w:t xml:space="preserve"> </w:t>
      </w:r>
      <w:r w:rsidR="00ED5237">
        <w:rPr>
          <w:lang w:val="en-GB"/>
        </w:rPr>
        <w:t>when other bodies in Queensland, such as the Office of Fair Trading and Workplace Health and Safety Queensland, perform multiple functions including complaint handling and regulation.</w:t>
      </w:r>
    </w:p>
    <w:p w14:paraId="2F8E4155" w14:textId="6EB69C10" w:rsidR="00FE4A75" w:rsidRDefault="003B5B68" w:rsidP="00ED5237">
      <w:pPr>
        <w:pStyle w:val="QIDANParagraph"/>
        <w:rPr>
          <w:lang w:val="en-GB"/>
        </w:rPr>
      </w:pPr>
      <w:r>
        <w:rPr>
          <w:lang w:val="en-GB"/>
        </w:rPr>
        <w:t>W</w:t>
      </w:r>
      <w:r w:rsidR="00D04EC3">
        <w:rPr>
          <w:lang w:val="en-GB"/>
        </w:rPr>
        <w:t xml:space="preserve">ell-resourced and measured implementation is critical. </w:t>
      </w:r>
      <w:r w:rsidR="00FE4A75">
        <w:rPr>
          <w:lang w:val="en-GB"/>
        </w:rPr>
        <w:t>To allow sufficient time for the QHRC</w:t>
      </w:r>
      <w:r w:rsidR="002D4985">
        <w:rPr>
          <w:lang w:val="en-GB"/>
        </w:rPr>
        <w:t xml:space="preserve"> to</w:t>
      </w:r>
      <w:r w:rsidR="00FE4A75">
        <w:rPr>
          <w:lang w:val="en-GB"/>
        </w:rPr>
        <w:t xml:space="preserve"> </w:t>
      </w:r>
      <w:r w:rsidR="00266F7A">
        <w:rPr>
          <w:lang w:val="en-GB"/>
        </w:rPr>
        <w:t xml:space="preserve">provide sufficient guidance and education for </w:t>
      </w:r>
      <w:r w:rsidR="00FE4A75">
        <w:rPr>
          <w:lang w:val="en-GB"/>
        </w:rPr>
        <w:t xml:space="preserve">duty holders on compliance, and </w:t>
      </w:r>
      <w:r w:rsidR="00053055">
        <w:rPr>
          <w:lang w:val="en-GB"/>
        </w:rPr>
        <w:t xml:space="preserve">to themselves </w:t>
      </w:r>
      <w:r w:rsidR="00FE4A75">
        <w:rPr>
          <w:lang w:val="en-GB"/>
        </w:rPr>
        <w:t>implement a regulatory arm with both investigative and enforcement powers, we recommend a staged implementation approach.</w:t>
      </w:r>
    </w:p>
    <w:p w14:paraId="2C71D706" w14:textId="3313B327" w:rsidR="00ED5237" w:rsidRDefault="00ED5237" w:rsidP="00B7520C">
      <w:pPr>
        <w:pStyle w:val="QIDANParagraph"/>
        <w:spacing w:after="0"/>
        <w:rPr>
          <w:lang w:val="en-GB"/>
        </w:rPr>
      </w:pPr>
      <w:r>
        <w:rPr>
          <w:lang w:val="en-GB"/>
        </w:rPr>
        <w:t>Learning from the experience of the AHRC,</w:t>
      </w:r>
      <w:r>
        <w:rPr>
          <w:rStyle w:val="FootnoteReference"/>
          <w:lang w:val="en-GB"/>
        </w:rPr>
        <w:footnoteReference w:id="12"/>
      </w:r>
      <w:r>
        <w:rPr>
          <w:lang w:val="en-GB"/>
        </w:rPr>
        <w:t xml:space="preserve"> we suggest the following timeline:</w:t>
      </w:r>
    </w:p>
    <w:p w14:paraId="54023C7A" w14:textId="1CF821A7" w:rsidR="00ED5237" w:rsidRDefault="00ED5237" w:rsidP="00263DAC">
      <w:pPr>
        <w:pStyle w:val="QIDANParagraph"/>
        <w:numPr>
          <w:ilvl w:val="0"/>
          <w:numId w:val="13"/>
        </w:numPr>
        <w:spacing w:after="0"/>
        <w:ind w:left="714" w:hanging="357"/>
        <w:rPr>
          <w:lang w:val="en-GB"/>
        </w:rPr>
      </w:pPr>
      <w:r>
        <w:rPr>
          <w:lang w:val="en-GB"/>
        </w:rPr>
        <w:t>Stage 1</w:t>
      </w:r>
      <w:r w:rsidR="00B17952">
        <w:rPr>
          <w:lang w:val="en-GB"/>
        </w:rPr>
        <w:t xml:space="preserve"> -</w:t>
      </w:r>
      <w:r>
        <w:rPr>
          <w:lang w:val="en-GB"/>
        </w:rPr>
        <w:t xml:space="preserve"> Education and prevention</w:t>
      </w:r>
      <w:r w:rsidR="00B17952">
        <w:rPr>
          <w:lang w:val="en-GB"/>
        </w:rPr>
        <w:t>:</w:t>
      </w:r>
      <w:r w:rsidR="002542C9" w:rsidRPr="002542C9">
        <w:rPr>
          <w:lang w:val="en-GB"/>
        </w:rPr>
        <w:t xml:space="preserve"> </w:t>
      </w:r>
      <w:r>
        <w:rPr>
          <w:lang w:val="en-GB"/>
        </w:rPr>
        <w:t xml:space="preserve">While education and prevention will need to be ongoing to ensure compliance with the duty, the </w:t>
      </w:r>
      <w:r w:rsidRPr="009749B2">
        <w:rPr>
          <w:b/>
          <w:bCs/>
          <w:lang w:val="en-GB"/>
        </w:rPr>
        <w:t>first year</w:t>
      </w:r>
      <w:r>
        <w:rPr>
          <w:lang w:val="en-GB"/>
        </w:rPr>
        <w:t xml:space="preserve"> must focus on educating duty holders </w:t>
      </w:r>
      <w:r w:rsidR="00B17952">
        <w:rPr>
          <w:lang w:val="en-GB"/>
        </w:rPr>
        <w:t>about</w:t>
      </w:r>
      <w:r>
        <w:rPr>
          <w:lang w:val="en-GB"/>
        </w:rPr>
        <w:t xml:space="preserve"> how compliance will be met, relative to the size and resources of the duty holder. This should include issuing relevant guidelines, providing training opportunities and producing accessible resources with practical examples. </w:t>
      </w:r>
    </w:p>
    <w:p w14:paraId="784420FB" w14:textId="6418B8F3" w:rsidR="00ED5237" w:rsidRDefault="00ED5237" w:rsidP="00263DAC">
      <w:pPr>
        <w:pStyle w:val="QIDANParagraph"/>
        <w:numPr>
          <w:ilvl w:val="0"/>
          <w:numId w:val="13"/>
        </w:numPr>
        <w:spacing w:after="0"/>
        <w:ind w:left="714" w:hanging="357"/>
        <w:rPr>
          <w:lang w:val="en-GB"/>
        </w:rPr>
      </w:pPr>
      <w:r>
        <w:rPr>
          <w:lang w:val="en-GB"/>
        </w:rPr>
        <w:t>Stage 2</w:t>
      </w:r>
      <w:r w:rsidR="00B17952">
        <w:rPr>
          <w:lang w:val="en-GB"/>
        </w:rPr>
        <w:t xml:space="preserve"> - </w:t>
      </w:r>
      <w:r>
        <w:rPr>
          <w:lang w:val="en-GB"/>
        </w:rPr>
        <w:t>Enforcement and compliance</w:t>
      </w:r>
      <w:r w:rsidR="00B17952">
        <w:rPr>
          <w:lang w:val="en-GB"/>
        </w:rPr>
        <w:t>:</w:t>
      </w:r>
      <w:r w:rsidR="002542C9" w:rsidRPr="002542C9">
        <w:rPr>
          <w:lang w:val="en-GB"/>
        </w:rPr>
        <w:t xml:space="preserve"> </w:t>
      </w:r>
      <w:r>
        <w:rPr>
          <w:lang w:val="en-GB"/>
        </w:rPr>
        <w:t xml:space="preserve">The </w:t>
      </w:r>
      <w:r>
        <w:rPr>
          <w:b/>
          <w:bCs/>
          <w:lang w:val="en-GB"/>
        </w:rPr>
        <w:t>second year</w:t>
      </w:r>
      <w:r>
        <w:rPr>
          <w:lang w:val="en-GB"/>
        </w:rPr>
        <w:t xml:space="preserve"> must focus on establishing the regulatory arm of the QHRC which will be responsible for ensuring compliance </w:t>
      </w:r>
      <w:r>
        <w:rPr>
          <w:lang w:val="en-GB"/>
        </w:rPr>
        <w:lastRenderedPageBreak/>
        <w:t>with the duty. As part of this, the complaint handling and regulatory functions must be clearly separated which may include an organisational re-structure and the separation of budget allocation to ensure adequate resourcing both arms.</w:t>
      </w:r>
    </w:p>
    <w:p w14:paraId="17B35EAE" w14:textId="3CAA7D66" w:rsidR="00ED5237" w:rsidRDefault="00ED5237" w:rsidP="00691065">
      <w:pPr>
        <w:pStyle w:val="QIDANParagraph"/>
        <w:numPr>
          <w:ilvl w:val="0"/>
          <w:numId w:val="13"/>
        </w:numPr>
        <w:rPr>
          <w:lang w:val="en-GB"/>
        </w:rPr>
      </w:pPr>
      <w:r w:rsidRPr="002542C9">
        <w:rPr>
          <w:lang w:val="en-GB"/>
        </w:rPr>
        <w:t>Stage 3</w:t>
      </w:r>
      <w:r w:rsidR="001B1A3B">
        <w:rPr>
          <w:lang w:val="en-GB"/>
        </w:rPr>
        <w:t xml:space="preserve"> -</w:t>
      </w:r>
      <w:r w:rsidRPr="002542C9">
        <w:rPr>
          <w:lang w:val="en-GB"/>
        </w:rPr>
        <w:t xml:space="preserve"> </w:t>
      </w:r>
      <w:r w:rsidR="00F35145" w:rsidRPr="002542C9">
        <w:rPr>
          <w:lang w:val="en-GB"/>
        </w:rPr>
        <w:t>Independent r</w:t>
      </w:r>
      <w:r w:rsidRPr="002542C9">
        <w:rPr>
          <w:lang w:val="en-GB"/>
        </w:rPr>
        <w:t>eview</w:t>
      </w:r>
      <w:r w:rsidR="001B1A3B">
        <w:rPr>
          <w:lang w:val="en-GB"/>
        </w:rPr>
        <w:t>:</w:t>
      </w:r>
      <w:r w:rsidR="002542C9" w:rsidRPr="002542C9">
        <w:rPr>
          <w:lang w:val="en-GB"/>
        </w:rPr>
        <w:t xml:space="preserve"> </w:t>
      </w:r>
      <w:r>
        <w:rPr>
          <w:lang w:val="en-GB"/>
        </w:rPr>
        <w:t xml:space="preserve">Within 12-months of establishing the regulatory arm of the QHRC (the </w:t>
      </w:r>
      <w:r w:rsidRPr="007471E0">
        <w:rPr>
          <w:b/>
          <w:bCs/>
          <w:lang w:val="en-GB"/>
        </w:rPr>
        <w:t>third year</w:t>
      </w:r>
      <w:r>
        <w:rPr>
          <w:lang w:val="en-GB"/>
        </w:rPr>
        <w:t xml:space="preserve">), an independent review must be undertaken to evaluate the effectiveness of the implementation of the duty. This must include a public consultation process whereby duty holders, </w:t>
      </w:r>
      <w:r w:rsidR="00F9197D" w:rsidRPr="002542C9">
        <w:rPr>
          <w:lang w:val="en-GB"/>
        </w:rPr>
        <w:t xml:space="preserve">people who have made complaints </w:t>
      </w:r>
      <w:r>
        <w:rPr>
          <w:lang w:val="en-GB"/>
        </w:rPr>
        <w:t xml:space="preserve">and </w:t>
      </w:r>
      <w:r w:rsidR="00F9197D" w:rsidRPr="002542C9">
        <w:rPr>
          <w:lang w:val="en-GB"/>
        </w:rPr>
        <w:t>people subject of</w:t>
      </w:r>
      <w:r w:rsidR="00880E7A" w:rsidRPr="002542C9">
        <w:rPr>
          <w:lang w:val="en-GB"/>
        </w:rPr>
        <w:t xml:space="preserve"> complaints can</w:t>
      </w:r>
      <w:r>
        <w:rPr>
          <w:lang w:val="en-GB"/>
        </w:rPr>
        <w:t xml:space="preserve"> provide relevant feedback.</w:t>
      </w:r>
    </w:p>
    <w:p w14:paraId="4D4CC20F" w14:textId="3F468031" w:rsidR="00160366" w:rsidRDefault="0017684C" w:rsidP="00CD4D99">
      <w:pPr>
        <w:pStyle w:val="Heading1"/>
      </w:pPr>
      <w:bookmarkStart w:id="15" w:name="_Toc244185130"/>
      <w:bookmarkStart w:id="16" w:name="_Toc244185254"/>
      <w:r w:rsidRPr="00AF488B">
        <w:t>Vilification law</w:t>
      </w:r>
      <w:r w:rsidR="000F0B8F" w:rsidRPr="00AF488B">
        <w:t xml:space="preserve">s must protect people with disability </w:t>
      </w:r>
      <w:r w:rsidR="00A74D94" w:rsidRPr="00AF488B">
        <w:t>in all public spaces</w:t>
      </w:r>
      <w:bookmarkEnd w:id="15"/>
      <w:bookmarkEnd w:id="16"/>
    </w:p>
    <w:p w14:paraId="63CFCD10" w14:textId="094EAFF2" w:rsidR="008510BD" w:rsidRDefault="008510BD" w:rsidP="00B62856">
      <w:pPr>
        <w:rPr>
          <w:rFonts w:eastAsiaTheme="majorEastAsia"/>
        </w:rPr>
      </w:pPr>
      <w:r>
        <w:rPr>
          <w:rFonts w:eastAsiaTheme="majorEastAsia"/>
        </w:rPr>
        <w:t xml:space="preserve">This section responds to questions </w:t>
      </w:r>
      <w:r w:rsidR="00875373">
        <w:rPr>
          <w:rFonts w:eastAsiaTheme="majorEastAsia"/>
        </w:rPr>
        <w:t xml:space="preserve">C20, C21 and </w:t>
      </w:r>
      <w:r>
        <w:rPr>
          <w:rFonts w:eastAsiaTheme="majorEastAsia"/>
        </w:rPr>
        <w:t>C23</w:t>
      </w:r>
      <w:r w:rsidR="00875373">
        <w:rPr>
          <w:rFonts w:eastAsiaTheme="majorEastAsia"/>
        </w:rPr>
        <w:t xml:space="preserve"> in the Discussion Paper. </w:t>
      </w:r>
    </w:p>
    <w:p w14:paraId="5C004607" w14:textId="202E2643" w:rsidR="002C77FC" w:rsidRPr="005F52B9" w:rsidRDefault="002564DA" w:rsidP="00D72B74">
      <w:pPr>
        <w:rPr>
          <w:szCs w:val="22"/>
        </w:rPr>
      </w:pPr>
      <w:r>
        <w:rPr>
          <w:rFonts w:eastAsiaTheme="majorEastAsia"/>
        </w:rPr>
        <w:t>The extent of violence and abuse experienced by people with disability in public spaces was extensively documented by the DRC</w:t>
      </w:r>
      <w:r w:rsidR="00F84EC2">
        <w:rPr>
          <w:rFonts w:eastAsiaTheme="majorEastAsia"/>
        </w:rPr>
        <w:t>, with many witnesses at one public hearing explaining ‘they have come to expect some form of abuse whenever they leave their homes’.</w:t>
      </w:r>
      <w:r w:rsidR="00F84EC2">
        <w:rPr>
          <w:rStyle w:val="FootnoteReference"/>
          <w:rFonts w:eastAsiaTheme="majorEastAsia"/>
        </w:rPr>
        <w:footnoteReference w:id="13"/>
      </w:r>
      <w:r w:rsidR="00F84EC2">
        <w:rPr>
          <w:rFonts w:eastAsiaTheme="majorEastAsia"/>
        </w:rPr>
        <w:t xml:space="preserve"> </w:t>
      </w:r>
      <w:r w:rsidR="00DD5E85">
        <w:rPr>
          <w:rFonts w:eastAsiaTheme="majorEastAsia"/>
        </w:rPr>
        <w:t>As the Review is aware, expanding vilification protections to people with disability was recommended by the Legal Affairs and Safety Committee inquiry (LASC inquiry) into serious vilification and hate crimes in 2021</w:t>
      </w:r>
      <w:r w:rsidR="00DD5E85">
        <w:rPr>
          <w:rStyle w:val="FootnoteReference"/>
          <w:rFonts w:eastAsiaTheme="majorEastAsia"/>
        </w:rPr>
        <w:footnoteReference w:id="14"/>
      </w:r>
      <w:r w:rsidR="00DD5E85">
        <w:rPr>
          <w:rFonts w:eastAsiaTheme="majorEastAsia"/>
        </w:rPr>
        <w:t xml:space="preserve"> and by the DRC in 2023.</w:t>
      </w:r>
      <w:r w:rsidR="00DD5E85">
        <w:rPr>
          <w:rStyle w:val="FootnoteReference"/>
          <w:rFonts w:eastAsiaTheme="majorEastAsia"/>
        </w:rPr>
        <w:footnoteReference w:id="15"/>
      </w:r>
      <w:r w:rsidR="00DD5E85">
        <w:rPr>
          <w:rFonts w:eastAsiaTheme="majorEastAsia"/>
        </w:rPr>
        <w:t xml:space="preserve">  </w:t>
      </w:r>
      <w:r w:rsidR="004822B7">
        <w:rPr>
          <w:rFonts w:eastAsiaTheme="majorEastAsia"/>
        </w:rPr>
        <w:t xml:space="preserve">The RAW amendments </w:t>
      </w:r>
      <w:r w:rsidR="00DD5E85">
        <w:rPr>
          <w:rFonts w:eastAsiaTheme="majorEastAsia"/>
        </w:rPr>
        <w:t xml:space="preserve">already passed by the Queensland Parliament </w:t>
      </w:r>
      <w:r w:rsidR="004822B7">
        <w:rPr>
          <w:rFonts w:eastAsiaTheme="majorEastAsia"/>
        </w:rPr>
        <w:t>have been extensively consulted on</w:t>
      </w:r>
      <w:r w:rsidR="00F34C4D">
        <w:rPr>
          <w:rFonts w:eastAsiaTheme="majorEastAsia"/>
        </w:rPr>
        <w:t xml:space="preserve">, </w:t>
      </w:r>
      <w:r w:rsidR="00155AC5">
        <w:rPr>
          <w:rFonts w:eastAsiaTheme="majorEastAsia"/>
        </w:rPr>
        <w:t xml:space="preserve">would provide consistency with other jurisdictions, </w:t>
      </w:r>
      <w:r w:rsidR="004822B7">
        <w:rPr>
          <w:rFonts w:eastAsiaTheme="majorEastAsia"/>
        </w:rPr>
        <w:t xml:space="preserve">and </w:t>
      </w:r>
      <w:r w:rsidR="00205C38">
        <w:rPr>
          <w:rFonts w:eastAsiaTheme="majorEastAsia"/>
        </w:rPr>
        <w:t xml:space="preserve">are widely </w:t>
      </w:r>
      <w:r w:rsidR="005F52B9">
        <w:rPr>
          <w:rFonts w:eastAsiaTheme="majorEastAsia"/>
        </w:rPr>
        <w:t>s</w:t>
      </w:r>
      <w:r w:rsidR="00205C38">
        <w:rPr>
          <w:rFonts w:eastAsiaTheme="majorEastAsia"/>
        </w:rPr>
        <w:t xml:space="preserve">upported. </w:t>
      </w:r>
      <w:r w:rsidR="009259C9">
        <w:rPr>
          <w:rFonts w:eastAsiaTheme="majorEastAsia"/>
        </w:rPr>
        <w:t>These provisions must be retained and commenced with urgency.</w:t>
      </w:r>
    </w:p>
    <w:sectPr w:rsidR="002C77FC" w:rsidRPr="005F52B9" w:rsidSect="00B7520C">
      <w:headerReference w:type="default" r:id="rId17"/>
      <w:footerReference w:type="even" r:id="rId18"/>
      <w:footerReference w:type="default" r:id="rId19"/>
      <w:headerReference w:type="first" r:id="rId20"/>
      <w:footerReference w:type="first" r:id="rId21"/>
      <w:pgSz w:w="11901" w:h="16817"/>
      <w:pgMar w:top="1276" w:right="1080" w:bottom="993" w:left="1080" w:header="0" w:footer="7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910D0" w14:textId="77777777" w:rsidR="004B5E6D" w:rsidRDefault="004B5E6D" w:rsidP="003A4839">
      <w:r>
        <w:separator/>
      </w:r>
    </w:p>
  </w:endnote>
  <w:endnote w:type="continuationSeparator" w:id="0">
    <w:p w14:paraId="6B27DA12" w14:textId="77777777" w:rsidR="004B5E6D" w:rsidRDefault="004B5E6D" w:rsidP="003A4839">
      <w:r>
        <w:continuationSeparator/>
      </w:r>
    </w:p>
  </w:endnote>
  <w:endnote w:type="continuationNotice" w:id="1">
    <w:p w14:paraId="74A84B41" w14:textId="77777777" w:rsidR="004B5E6D" w:rsidRDefault="004B5E6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 w:name="Nunito Sans">
    <w:charset w:val="00"/>
    <w:family w:val="auto"/>
    <w:pitch w:val="variable"/>
    <w:sig w:usb0="A00002FF" w:usb1="5000204B"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Poppins SemiBold">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3757904"/>
      <w:docPartObj>
        <w:docPartGallery w:val="Page Numbers (Bottom of Page)"/>
        <w:docPartUnique/>
      </w:docPartObj>
    </w:sdtPr>
    <w:sdtContent>
      <w:p w14:paraId="0F6B2E3A" w14:textId="77777777" w:rsidR="002C77FC" w:rsidRDefault="002C77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D9324D" w14:textId="77777777" w:rsidR="002C77FC" w:rsidRDefault="002C77FC" w:rsidP="002C77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B709D" w14:textId="4C89A8DD" w:rsidR="002C77FC" w:rsidRPr="002C77FC" w:rsidRDefault="00584FF3" w:rsidP="78DEB353">
    <w:pPr>
      <w:pStyle w:val="Footer"/>
      <w:jc w:val="right"/>
      <w:rPr>
        <w:rFonts w:ascii="Nunito Sans" w:eastAsia="Nunito Sans" w:hAnsi="Nunito Sans" w:cs="Nunito Sans"/>
        <w:color w:val="690048"/>
        <w:sz w:val="20"/>
        <w:szCs w:val="20"/>
        <w:lang w:val="en-AU"/>
      </w:rPr>
    </w:pPr>
    <w:r w:rsidRPr="7B0888CC">
      <w:rPr>
        <w:rFonts w:ascii="Nunito Sans" w:eastAsia="Nunito Sans" w:hAnsi="Nunito Sans" w:cs="Nunito Sans"/>
        <w:color w:val="690048"/>
        <w:sz w:val="20"/>
        <w:szCs w:val="20"/>
        <w:lang w:val="en-AU"/>
      </w:rPr>
      <w:t xml:space="preserve">QIDAN Response to the </w:t>
    </w:r>
    <w:r w:rsidR="000A70A3" w:rsidRPr="7B0888CC">
      <w:rPr>
        <w:rFonts w:ascii="Nunito Sans" w:eastAsia="Nunito Sans" w:hAnsi="Nunito Sans" w:cs="Nunito Sans"/>
        <w:color w:val="690048"/>
        <w:sz w:val="20"/>
        <w:szCs w:val="20"/>
        <w:lang w:val="en-AU"/>
      </w:rPr>
      <w:t>Review of Queensland’s Human Rights and Anti-Discrimination Framework</w:t>
    </w:r>
    <w:r w:rsidR="429CBEEB" w:rsidRPr="7B0888CC">
      <w:rPr>
        <w:rFonts w:ascii="Nunito Sans" w:eastAsia="Nunito Sans" w:hAnsi="Nunito Sans" w:cs="Nunito Sans"/>
        <w:color w:val="690048"/>
        <w:sz w:val="20"/>
        <w:szCs w:val="20"/>
        <w:lang w:val="en-AU"/>
      </w:rPr>
      <w:t xml:space="preserve"> </w:t>
    </w:r>
    <w:r w:rsidR="5271958B" w:rsidRPr="7B0888CC">
      <w:rPr>
        <w:rFonts w:ascii="Nunito Sans" w:eastAsia="Nunito Sans" w:hAnsi="Nunito Sans" w:cs="Nunito Sans"/>
        <w:color w:val="690048"/>
        <w:sz w:val="20"/>
        <w:szCs w:val="20"/>
        <w:lang w:val="en-AU"/>
      </w:rPr>
      <w:t xml:space="preserve">   </w:t>
    </w:r>
    <w:r w:rsidRPr="00D97BDB">
      <w:rPr>
        <w:rFonts w:ascii="Nunito Sans" w:eastAsia="Nunito Sans" w:hAnsi="Nunito Sans" w:cs="Nunito Sans"/>
        <w:color w:val="690048"/>
        <w:sz w:val="20"/>
        <w:szCs w:val="20"/>
      </w:rPr>
      <w:fldChar w:fldCharType="begin"/>
    </w:r>
    <w:r w:rsidRPr="00D97BDB">
      <w:rPr>
        <w:rFonts w:ascii="Nunito Sans" w:hAnsi="Nunito Sans"/>
        <w:color w:val="690048"/>
        <w:sz w:val="20"/>
        <w:szCs w:val="20"/>
      </w:rPr>
      <w:instrText>PAGE</w:instrText>
    </w:r>
    <w:r w:rsidRPr="00D97BDB">
      <w:rPr>
        <w:rFonts w:ascii="Nunito Sans" w:hAnsi="Nunito Sans"/>
        <w:color w:val="690048"/>
        <w:sz w:val="20"/>
        <w:szCs w:val="20"/>
      </w:rPr>
      <w:fldChar w:fldCharType="separate"/>
    </w:r>
    <w:r w:rsidR="00C20141" w:rsidRPr="00D97BDB">
      <w:rPr>
        <w:rFonts w:ascii="Nunito Sans" w:hAnsi="Nunito Sans"/>
        <w:color w:val="690048"/>
        <w:sz w:val="20"/>
        <w:szCs w:val="20"/>
      </w:rPr>
      <w:t>15</w:t>
    </w:r>
    <w:r w:rsidRPr="00D97BDB">
      <w:rPr>
        <w:rFonts w:ascii="Nunito Sans" w:eastAsia="Nunito Sans" w:hAnsi="Nunito Sans" w:cs="Nunito Sans"/>
        <w:color w:val="690048"/>
        <w:sz w:val="20"/>
        <w:szCs w:val="20"/>
      </w:rPr>
      <w:fldChar w:fldCharType="end"/>
    </w:r>
    <w:r w:rsidR="7B4D9412" w:rsidRPr="7B0888CC">
      <w:rPr>
        <w:rFonts w:ascii="Nunito Sans" w:eastAsia="Nunito Sans" w:hAnsi="Nunito Sans" w:cs="Nunito Sans"/>
        <w:color w:val="690048"/>
        <w:sz w:val="20"/>
        <w:szCs w:val="20"/>
        <w:lang w:val="en-A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9AF83" w14:textId="77777777" w:rsidR="00E55601" w:rsidRPr="00E55601" w:rsidRDefault="00E55601">
    <w:pPr>
      <w:pStyle w:val="Footer"/>
      <w:rPr>
        <w:rFonts w:ascii="Nunito Sans" w:hAnsi="Nunito Sans"/>
        <w:b/>
        <w:bCs/>
        <w:color w:val="FFFFFF" w:themeColor="background1"/>
        <w:sz w:val="20"/>
        <w:szCs w:val="20"/>
        <w:lang w:val="en-US"/>
      </w:rPr>
    </w:pPr>
    <w:r w:rsidRPr="00E55601">
      <w:rPr>
        <w:rFonts w:ascii="Nunito Sans" w:hAnsi="Nunito Sans"/>
        <w:b/>
        <w:bCs/>
        <w:color w:val="FAC2A7"/>
        <w:sz w:val="20"/>
        <w:szCs w:val="20"/>
        <w:lang w:val="en-US"/>
      </w:rPr>
      <w:t>Working together</w:t>
    </w:r>
    <w:r w:rsidRPr="00E55601">
      <w:rPr>
        <w:rFonts w:ascii="Nunito Sans" w:hAnsi="Nunito Sans"/>
        <w:b/>
        <w:bCs/>
        <w:color w:val="F26722"/>
        <w:sz w:val="20"/>
        <w:szCs w:val="20"/>
        <w:lang w:val="en-US"/>
      </w:rPr>
      <w:t xml:space="preserve"> </w:t>
    </w:r>
    <w:r w:rsidRPr="00E55601">
      <w:rPr>
        <w:rFonts w:ascii="Nunito Sans" w:hAnsi="Nunito Sans"/>
        <w:b/>
        <w:bCs/>
        <w:color w:val="FFFFFF" w:themeColor="background1"/>
        <w:sz w:val="20"/>
        <w:szCs w:val="20"/>
        <w:lang w:val="en-US"/>
      </w:rPr>
      <w:t>to achieve positive change for people with disability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249A2" w14:textId="77777777" w:rsidR="004B5E6D" w:rsidRDefault="004B5E6D" w:rsidP="00026877">
      <w:pPr>
        <w:spacing w:after="0" w:line="240" w:lineRule="auto"/>
      </w:pPr>
      <w:r>
        <w:separator/>
      </w:r>
    </w:p>
  </w:footnote>
  <w:footnote w:type="continuationSeparator" w:id="0">
    <w:p w14:paraId="09886E39" w14:textId="77777777" w:rsidR="004B5E6D" w:rsidRDefault="004B5E6D" w:rsidP="003A4839">
      <w:r>
        <w:continuationSeparator/>
      </w:r>
    </w:p>
  </w:footnote>
  <w:footnote w:type="continuationNotice" w:id="1">
    <w:p w14:paraId="5FE685A9" w14:textId="77777777" w:rsidR="004B5E6D" w:rsidRDefault="004B5E6D">
      <w:pPr>
        <w:spacing w:line="240" w:lineRule="auto"/>
      </w:pPr>
    </w:p>
  </w:footnote>
  <w:footnote w:id="2">
    <w:p w14:paraId="0F86BAFB" w14:textId="3BD2B39D" w:rsidR="0009098E" w:rsidRPr="00691065" w:rsidRDefault="0009098E" w:rsidP="00510EEB">
      <w:pPr>
        <w:pStyle w:val="FootnoteText"/>
        <w:spacing w:after="0"/>
        <w:rPr>
          <w:lang w:val="en-AU"/>
        </w:rPr>
      </w:pPr>
      <w:r>
        <w:rPr>
          <w:rStyle w:val="FootnoteReference"/>
        </w:rPr>
        <w:footnoteRef/>
      </w:r>
      <w:r>
        <w:t xml:space="preserve"> </w:t>
      </w:r>
      <w:r>
        <w:rPr>
          <w:lang w:val="en-AU"/>
        </w:rPr>
        <w:t>Queensland Human Rights Commission, ‘Annual Report</w:t>
      </w:r>
      <w:r w:rsidR="00236ECC">
        <w:rPr>
          <w:lang w:val="en-AU"/>
        </w:rPr>
        <w:t xml:space="preserve"> 2025-26’, (2026)</w:t>
      </w:r>
      <w:r w:rsidR="00974B87">
        <w:rPr>
          <w:lang w:val="en-AU"/>
        </w:rPr>
        <w:t xml:space="preserve"> </w:t>
      </w:r>
      <w:r w:rsidR="00236ECC">
        <w:rPr>
          <w:lang w:val="en-AU"/>
        </w:rPr>
        <w:t xml:space="preserve">23, </w:t>
      </w:r>
      <w:hyperlink r:id="rId1" w:history="1">
        <w:r w:rsidR="00F34223" w:rsidRPr="00695E03">
          <w:rPr>
            <w:rStyle w:val="Hyperlink"/>
            <w:lang w:val="en-AU"/>
          </w:rPr>
          <w:t>https://www.qhrc.qld.gov.au/about-us/annual-reports</w:t>
        </w:r>
      </w:hyperlink>
      <w:r w:rsidR="00F34223">
        <w:rPr>
          <w:lang w:val="en-AU"/>
        </w:rPr>
        <w:t xml:space="preserve">. </w:t>
      </w:r>
    </w:p>
  </w:footnote>
  <w:footnote w:id="3">
    <w:p w14:paraId="44F1477A" w14:textId="0FC30211" w:rsidR="0059041E" w:rsidRPr="0059041E" w:rsidRDefault="0059041E" w:rsidP="00510EEB">
      <w:pPr>
        <w:pStyle w:val="FootnoteText"/>
        <w:spacing w:after="0"/>
        <w:rPr>
          <w:lang w:val="en-US"/>
        </w:rPr>
      </w:pPr>
      <w:r>
        <w:rPr>
          <w:rStyle w:val="FootnoteReference"/>
        </w:rPr>
        <w:footnoteRef/>
      </w:r>
      <w:r>
        <w:t xml:space="preserve"> </w:t>
      </w:r>
      <w:r w:rsidRPr="0059041E">
        <w:t>United Nations Convention on the Rights of Persons with Disability, Preamble, (e).</w:t>
      </w:r>
    </w:p>
  </w:footnote>
  <w:footnote w:id="4">
    <w:p w14:paraId="2A604506" w14:textId="067399AB" w:rsidR="00114F8C" w:rsidRPr="00114F8C" w:rsidRDefault="00114F8C" w:rsidP="00510EEB">
      <w:pPr>
        <w:pStyle w:val="FootnoteText"/>
        <w:spacing w:after="0"/>
        <w:rPr>
          <w:lang w:val="en-AU"/>
        </w:rPr>
      </w:pPr>
      <w:r>
        <w:rPr>
          <w:rStyle w:val="FootnoteReference"/>
        </w:rPr>
        <w:footnoteRef/>
      </w:r>
      <w:r w:rsidR="003A38E9">
        <w:t xml:space="preserve"> </w:t>
      </w:r>
      <w:r w:rsidR="004D2492">
        <w:rPr>
          <w:lang w:val="en-AU"/>
        </w:rPr>
        <w:t>Royal Commission into Violence, Abuse, Neglect and Exploitation of People with Disability</w:t>
      </w:r>
      <w:r w:rsidR="00F360E9">
        <w:rPr>
          <w:lang w:val="en-AU"/>
        </w:rPr>
        <w:t>,</w:t>
      </w:r>
      <w:r w:rsidR="00D83999">
        <w:rPr>
          <w:lang w:val="en-AU"/>
        </w:rPr>
        <w:t xml:space="preserve"> </w:t>
      </w:r>
      <w:r w:rsidR="000C236D">
        <w:rPr>
          <w:lang w:val="en-AU"/>
        </w:rPr>
        <w:t>‘</w:t>
      </w:r>
      <w:r w:rsidR="000C236D" w:rsidRPr="000C236D">
        <w:rPr>
          <w:lang w:val="en-AU"/>
        </w:rPr>
        <w:t>Final Report – Volume 2, About the Royal Commission</w:t>
      </w:r>
      <w:r w:rsidR="000C236D">
        <w:rPr>
          <w:lang w:val="en-AU"/>
        </w:rPr>
        <w:t xml:space="preserve">’: </w:t>
      </w:r>
      <w:hyperlink r:id="rId2" w:history="1">
        <w:r w:rsidR="00ED72D6" w:rsidRPr="00BC099F">
          <w:rPr>
            <w:rStyle w:val="Hyperlink"/>
            <w:lang w:val="en-AU"/>
          </w:rPr>
          <w:t>https://disability.royalcommission.gov.au/publications/final-report</w:t>
        </w:r>
      </w:hyperlink>
      <w:r w:rsidR="00ED72D6">
        <w:rPr>
          <w:lang w:val="en-AU"/>
        </w:rPr>
        <w:t xml:space="preserve">. </w:t>
      </w:r>
    </w:p>
  </w:footnote>
  <w:footnote w:id="5">
    <w:p w14:paraId="63291470" w14:textId="5A294B91" w:rsidR="009406B7" w:rsidRPr="009406B7" w:rsidRDefault="009406B7" w:rsidP="00510EEB">
      <w:pPr>
        <w:pStyle w:val="FootnoteText"/>
        <w:spacing w:after="0"/>
        <w:rPr>
          <w:lang w:val="en-AU"/>
        </w:rPr>
      </w:pPr>
      <w:r>
        <w:rPr>
          <w:rStyle w:val="FootnoteReference"/>
        </w:rPr>
        <w:footnoteRef/>
      </w:r>
      <w:r>
        <w:t xml:space="preserve"> </w:t>
      </w:r>
      <w:r w:rsidR="00DC4016" w:rsidRPr="00DC4016">
        <w:rPr>
          <w:lang w:val="en-AU"/>
        </w:rPr>
        <w:t xml:space="preserve">Queensland Human Rights Commission </w:t>
      </w:r>
      <w:r w:rsidR="00582EA7">
        <w:rPr>
          <w:lang w:val="en-AU"/>
        </w:rPr>
        <w:t>‘</w:t>
      </w:r>
      <w:r w:rsidR="00D45BB8" w:rsidRPr="00034740">
        <w:t>Annual Report 2025-26</w:t>
      </w:r>
      <w:r w:rsidR="00582EA7">
        <w:t xml:space="preserve">’ </w:t>
      </w:r>
      <w:r w:rsidR="005418A2">
        <w:t>19</w:t>
      </w:r>
      <w:r w:rsidR="00582EA7">
        <w:t>:</w:t>
      </w:r>
      <w:r w:rsidR="00A31A85">
        <w:t xml:space="preserve"> </w:t>
      </w:r>
      <w:hyperlink r:id="rId3" w:history="1">
        <w:r w:rsidR="00C658AE" w:rsidRPr="00BC099F">
          <w:rPr>
            <w:rStyle w:val="Hyperlink"/>
          </w:rPr>
          <w:t>https://www.qhrc.qld.gov.au/about-us/annual-reports</w:t>
        </w:r>
      </w:hyperlink>
      <w:r w:rsidR="00C658AE">
        <w:t xml:space="preserve"> </w:t>
      </w:r>
    </w:p>
  </w:footnote>
  <w:footnote w:id="6">
    <w:p w14:paraId="4AC164A0" w14:textId="5449D3BF" w:rsidR="0021240C" w:rsidRPr="0021240C" w:rsidRDefault="0021240C" w:rsidP="00510EEB">
      <w:pPr>
        <w:pStyle w:val="FootnoteText"/>
        <w:spacing w:after="0"/>
        <w:rPr>
          <w:lang w:val="en-AU"/>
        </w:rPr>
      </w:pPr>
      <w:r>
        <w:rPr>
          <w:rStyle w:val="FootnoteReference"/>
        </w:rPr>
        <w:footnoteRef/>
      </w:r>
      <w:r>
        <w:t xml:space="preserve"> </w:t>
      </w:r>
      <w:r w:rsidRPr="00DC4016">
        <w:rPr>
          <w:lang w:val="en-AU"/>
        </w:rPr>
        <w:t xml:space="preserve">Queensland Human Rights Commission </w:t>
      </w:r>
      <w:r w:rsidR="00582EA7">
        <w:rPr>
          <w:lang w:val="en-AU"/>
        </w:rPr>
        <w:t>‘</w:t>
      </w:r>
      <w:r w:rsidRPr="00034740">
        <w:t>Annual Report 2025-</w:t>
      </w:r>
      <w:r w:rsidR="00582EA7" w:rsidRPr="00034740">
        <w:t>26</w:t>
      </w:r>
      <w:r w:rsidR="00582EA7">
        <w:t xml:space="preserve">’ </w:t>
      </w:r>
      <w:r w:rsidR="00414E2D">
        <w:t>63-64</w:t>
      </w:r>
      <w:r w:rsidR="00582EA7">
        <w:t>:</w:t>
      </w:r>
      <w:r>
        <w:t xml:space="preserve"> </w:t>
      </w:r>
      <w:hyperlink r:id="rId4" w:history="1">
        <w:r w:rsidRPr="00BC099F">
          <w:rPr>
            <w:rStyle w:val="Hyperlink"/>
          </w:rPr>
          <w:t>https://www.qhrc.qld.gov.au/about-us/annual-reports</w:t>
        </w:r>
      </w:hyperlink>
    </w:p>
  </w:footnote>
  <w:footnote w:id="7">
    <w:p w14:paraId="4623D1E3" w14:textId="77777777" w:rsidR="00721B0C" w:rsidRPr="00A17372" w:rsidRDefault="00721B0C" w:rsidP="00510EEB">
      <w:pPr>
        <w:pStyle w:val="FootnoteText"/>
        <w:spacing w:after="0"/>
        <w:rPr>
          <w:lang w:val="en-AU"/>
        </w:rPr>
      </w:pPr>
      <w:r>
        <w:rPr>
          <w:rStyle w:val="FootnoteReference"/>
        </w:rPr>
        <w:footnoteRef/>
      </w:r>
      <w:r>
        <w:t xml:space="preserve"> Explanatory Note, </w:t>
      </w:r>
      <w:r w:rsidRPr="002A1EFB">
        <w:rPr>
          <w:i/>
          <w:iCs/>
        </w:rPr>
        <w:t>Respect at Work and Other Matters Amendment Bill</w:t>
      </w:r>
      <w:r>
        <w:t xml:space="preserve">, </w:t>
      </w:r>
      <w:r>
        <w:rPr>
          <w:lang w:val="en-AU"/>
        </w:rPr>
        <w:t xml:space="preserve">7,  </w:t>
      </w:r>
      <w:hyperlink r:id="rId5" w:history="1">
        <w:r w:rsidRPr="00E507A6">
          <w:rPr>
            <w:rStyle w:val="Hyperlink"/>
            <w:lang w:val="en-AU"/>
          </w:rPr>
          <w:t>https://www.legislation.qld.gov.au/view/pdf/bill.third.exp/bill-2024-024</w:t>
        </w:r>
      </w:hyperlink>
      <w:r>
        <w:rPr>
          <w:lang w:val="en-AU"/>
        </w:rPr>
        <w:t xml:space="preserve">.  </w:t>
      </w:r>
    </w:p>
  </w:footnote>
  <w:footnote w:id="8">
    <w:p w14:paraId="631A7A06" w14:textId="77777777" w:rsidR="00721B0C" w:rsidRPr="004F629B" w:rsidRDefault="00721B0C" w:rsidP="00510EEB">
      <w:pPr>
        <w:pStyle w:val="FootnoteText"/>
        <w:spacing w:after="0"/>
        <w:rPr>
          <w:lang w:val="en-AU"/>
        </w:rPr>
      </w:pPr>
      <w:r>
        <w:rPr>
          <w:rStyle w:val="FootnoteReference"/>
        </w:rPr>
        <w:footnoteRef/>
      </w:r>
      <w:r>
        <w:t xml:space="preserve"> Explanatory Note, </w:t>
      </w:r>
      <w:r w:rsidRPr="002A1EFB">
        <w:rPr>
          <w:i/>
          <w:iCs/>
        </w:rPr>
        <w:t>Respect at Work and Other Matters Amendment Bill</w:t>
      </w:r>
      <w:r>
        <w:t xml:space="preserve">, </w:t>
      </w:r>
      <w:r>
        <w:rPr>
          <w:lang w:val="en-AU"/>
        </w:rPr>
        <w:t xml:space="preserve">10,  </w:t>
      </w:r>
      <w:hyperlink r:id="rId6" w:history="1">
        <w:r w:rsidRPr="00E507A6">
          <w:rPr>
            <w:rStyle w:val="Hyperlink"/>
            <w:lang w:val="en-AU"/>
          </w:rPr>
          <w:t>https://www.legislation.qld.gov.au/view/pdf/bill.third.exp/bill-2024-024</w:t>
        </w:r>
      </w:hyperlink>
      <w:r>
        <w:rPr>
          <w:lang w:val="en-AU"/>
        </w:rPr>
        <w:t>.</w:t>
      </w:r>
    </w:p>
  </w:footnote>
  <w:footnote w:id="9">
    <w:p w14:paraId="74050C59" w14:textId="77777777" w:rsidR="006B3224" w:rsidRPr="008E2655" w:rsidRDefault="006B3224" w:rsidP="00510EEB">
      <w:pPr>
        <w:pStyle w:val="FootnoteText"/>
        <w:spacing w:after="0"/>
        <w:rPr>
          <w:i/>
          <w:iCs/>
          <w:lang w:val="en-AU"/>
        </w:rPr>
      </w:pPr>
      <w:r>
        <w:rPr>
          <w:rStyle w:val="FootnoteReference"/>
        </w:rPr>
        <w:footnoteRef/>
      </w:r>
      <w:r>
        <w:t xml:space="preserve"> Royal Commission into Violence, Abuse, Neglect and Exploitation, ‘Final Report’, vol 4, p. 304, </w:t>
      </w:r>
      <w:hyperlink r:id="rId7" w:history="1">
        <w:r w:rsidRPr="003453DF">
          <w:rPr>
            <w:rStyle w:val="Hyperlink"/>
          </w:rPr>
          <w:t>https://disability.royalcommission.gov.au/system/files/2023-11/Final%20report%20-%20Volume%204%2C%20Realising%20the%20human%20rights%20of%20people%20with%20disability.pdf</w:t>
        </w:r>
      </w:hyperlink>
      <w:r>
        <w:t>.</w:t>
      </w:r>
    </w:p>
    <w:p w14:paraId="00B7B23D" w14:textId="77777777" w:rsidR="006B3224" w:rsidRPr="00C9374F" w:rsidRDefault="006B3224" w:rsidP="00510EEB">
      <w:pPr>
        <w:pStyle w:val="FootnoteText"/>
        <w:spacing w:after="0"/>
        <w:rPr>
          <w:lang w:val="en-AU"/>
        </w:rPr>
      </w:pPr>
    </w:p>
  </w:footnote>
  <w:footnote w:id="10">
    <w:p w14:paraId="4597178C" w14:textId="77777777" w:rsidR="00E72794" w:rsidRPr="00154073" w:rsidRDefault="00E72794" w:rsidP="00510EEB">
      <w:pPr>
        <w:pStyle w:val="FootnoteText"/>
        <w:spacing w:after="0"/>
        <w:rPr>
          <w:lang w:val="en-AU"/>
        </w:rPr>
      </w:pPr>
      <w:r>
        <w:rPr>
          <w:rStyle w:val="FootnoteReference"/>
        </w:rPr>
        <w:footnoteRef/>
      </w:r>
      <w:r>
        <w:t xml:space="preserve"> </w:t>
      </w:r>
      <w:r w:rsidRPr="00794E5C">
        <w:t>Queensland Treasury, ‘Impact Analysis Statement: Summary IAS’, Respect at Work and Other Matters Amendment Bill (June 2024) 4</w:t>
      </w:r>
      <w:r>
        <w:t xml:space="preserve">, </w:t>
      </w:r>
      <w:hyperlink r:id="rId8" w:history="1">
        <w:r w:rsidRPr="00D254B0">
          <w:rPr>
            <w:rStyle w:val="Hyperlink"/>
          </w:rPr>
          <w:t>https://www.publications.qld.gov.au/dataset/djag-impact-analysis-statements-2024/resource/161508ca-ed18-4a2f-80d7-cb31b80aa6fc</w:t>
        </w:r>
      </w:hyperlink>
      <w:r>
        <w:t>.</w:t>
      </w:r>
    </w:p>
  </w:footnote>
  <w:footnote w:id="11">
    <w:p w14:paraId="04DD69AC" w14:textId="72C88109" w:rsidR="002D4985" w:rsidRPr="00691065" w:rsidRDefault="002D4985" w:rsidP="00510EEB">
      <w:pPr>
        <w:pStyle w:val="FootnoteText"/>
        <w:spacing w:after="0"/>
        <w:rPr>
          <w:lang w:val="en-AU"/>
        </w:rPr>
      </w:pPr>
      <w:r>
        <w:rPr>
          <w:rStyle w:val="FootnoteReference"/>
        </w:rPr>
        <w:footnoteRef/>
      </w:r>
      <w:r>
        <w:t xml:space="preserve"> </w:t>
      </w:r>
      <w:r>
        <w:rPr>
          <w:lang w:val="en-AU"/>
        </w:rPr>
        <w:t>Discussion paper, page 70</w:t>
      </w:r>
    </w:p>
  </w:footnote>
  <w:footnote w:id="12">
    <w:p w14:paraId="2DDCB5E0" w14:textId="77777777" w:rsidR="00ED5237" w:rsidRPr="00F061C1" w:rsidRDefault="00ED5237" w:rsidP="00510EEB">
      <w:pPr>
        <w:pStyle w:val="FootnoteText"/>
        <w:spacing w:after="0"/>
        <w:rPr>
          <w:lang w:val="en-AU"/>
        </w:rPr>
      </w:pPr>
      <w:r>
        <w:rPr>
          <w:rStyle w:val="FootnoteReference"/>
        </w:rPr>
        <w:footnoteRef/>
      </w:r>
      <w:r>
        <w:t xml:space="preserve"> </w:t>
      </w:r>
      <w:r>
        <w:rPr>
          <w:lang w:val="en-AU"/>
        </w:rPr>
        <w:t>Discussion paper, page 70</w:t>
      </w:r>
    </w:p>
  </w:footnote>
  <w:footnote w:id="13">
    <w:p w14:paraId="153FB06E" w14:textId="77777777" w:rsidR="00F84EC2" w:rsidRPr="00691065" w:rsidRDefault="00F84EC2" w:rsidP="00510EEB">
      <w:pPr>
        <w:pStyle w:val="FootnoteText"/>
        <w:spacing w:after="0"/>
        <w:rPr>
          <w:lang w:val="en-AU"/>
        </w:rPr>
      </w:pPr>
      <w:r>
        <w:rPr>
          <w:rStyle w:val="FootnoteReference"/>
        </w:rPr>
        <w:footnoteRef/>
      </w:r>
      <w:r>
        <w:t xml:space="preserve"> Royal Commission into Violence, Abuse, Neglect and Exploitation, ‘Final Report’ Vol 3 (2023) 168: </w:t>
      </w:r>
      <w:hyperlink r:id="rId9" w:history="1">
        <w:r w:rsidRPr="00007327">
          <w:rPr>
            <w:rStyle w:val="Hyperlink"/>
          </w:rPr>
          <w:t>https://disability.royalcommission.gov.au/system/files/2023-11/Final%20report%20-%20Volume%204%2C%20Realising%20the%20human%20rights%20of%20people%20with%20disability.pdf</w:t>
        </w:r>
      </w:hyperlink>
      <w:hyperlink r:id="rId10" w:history="1">
        <w:r w:rsidRPr="00745CDC">
          <w:rPr>
            <w:rStyle w:val="Hyperlink"/>
          </w:rPr>
          <w:t>https://disability.royalcommission.gov.au/system/files/2023-09/Final%20Report%20-%20Volume%203%2C%20Nature%20and%20Extent%20of%20Violence%2C%20abuse%2C%20neglect%20and%20exploitation.pdf</w:t>
        </w:r>
      </w:hyperlink>
      <w:r>
        <w:t xml:space="preserve"> </w:t>
      </w:r>
    </w:p>
  </w:footnote>
  <w:footnote w:id="14">
    <w:p w14:paraId="0C50C89E" w14:textId="77777777" w:rsidR="00DD5E85" w:rsidRPr="00691065" w:rsidRDefault="00DD5E85" w:rsidP="00510EEB">
      <w:pPr>
        <w:pStyle w:val="FootnoteText"/>
        <w:spacing w:after="0"/>
        <w:rPr>
          <w:lang w:val="en-AU"/>
        </w:rPr>
      </w:pPr>
      <w:r>
        <w:rPr>
          <w:rStyle w:val="FootnoteReference"/>
        </w:rPr>
        <w:footnoteRef/>
      </w:r>
      <w:r>
        <w:t xml:space="preserve"> </w:t>
      </w:r>
      <w:r>
        <w:rPr>
          <w:lang w:val="en-AU"/>
        </w:rPr>
        <w:t xml:space="preserve">Legal Affairs and Safety Committee, Queensland Parliament ‘Inquiry into serious vilification and hate crimes’ (2022) 4, Recommendation 4: </w:t>
      </w:r>
      <w:hyperlink r:id="rId11" w:history="1">
        <w:r w:rsidRPr="00745CDC">
          <w:rPr>
            <w:rStyle w:val="Hyperlink"/>
            <w:lang w:val="en-AU"/>
          </w:rPr>
          <w:t>https://www.parliament.qld.gov.au/Work-of-the-Assembly/Tabled-Papers/docs/5722t26/5722t26.pdf</w:t>
        </w:r>
      </w:hyperlink>
      <w:r>
        <w:rPr>
          <w:lang w:val="en-AU"/>
        </w:rPr>
        <w:t xml:space="preserve"> </w:t>
      </w:r>
    </w:p>
  </w:footnote>
  <w:footnote w:id="15">
    <w:p w14:paraId="122D0522" w14:textId="77777777" w:rsidR="00DD5E85" w:rsidRPr="00691065" w:rsidRDefault="00DD5E85" w:rsidP="00510EEB">
      <w:pPr>
        <w:pStyle w:val="FootnoteText"/>
        <w:spacing w:after="0"/>
        <w:rPr>
          <w:lang w:val="en-AU"/>
        </w:rPr>
      </w:pPr>
      <w:r>
        <w:rPr>
          <w:rStyle w:val="FootnoteReference"/>
        </w:rPr>
        <w:footnoteRef/>
      </w:r>
      <w:r>
        <w:t xml:space="preserve"> Royal Commission into Violence, Abuse, Neglect and Exploitation, ‘Final Report’ Vol 4 (2023) 32, Recommendation 4.30: </w:t>
      </w:r>
      <w:hyperlink r:id="rId12" w:history="1">
        <w:r w:rsidRPr="00007327">
          <w:rPr>
            <w:rStyle w:val="Hyperlink"/>
          </w:rPr>
          <w:t>https://disability.royalcommission.gov.au/system/files/2023-11/Final%20report%20-%20Volume%204%2C%20Realising%20the%20human%20rights%20of%20people%20with%20disability.pdf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D3021" w14:textId="77777777" w:rsidR="003A4839" w:rsidRDefault="003A4839">
    <w:pPr>
      <w:pStyle w:val="Header"/>
    </w:pPr>
    <w:r>
      <w:rPr>
        <w:noProof/>
      </w:rPr>
      <w:drawing>
        <wp:anchor distT="0" distB="0" distL="114300" distR="114300" simplePos="0" relativeHeight="251662336" behindDoc="1" locked="0" layoutInCell="1" allowOverlap="0" wp14:anchorId="10974935" wp14:editId="44876DCE">
          <wp:simplePos x="0" y="0"/>
          <wp:positionH relativeFrom="page">
            <wp:align>right</wp:align>
          </wp:positionH>
          <wp:positionV relativeFrom="margin">
            <wp:posOffset>-1076325</wp:posOffset>
          </wp:positionV>
          <wp:extent cx="7559400" cy="10684798"/>
          <wp:effectExtent l="0" t="0" r="3810" b="2540"/>
          <wp:wrapNone/>
          <wp:docPr id="17537004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420414"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9400" cy="1068479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131F5" w14:textId="77777777" w:rsidR="003A4839" w:rsidRDefault="003A4839">
    <w:pPr>
      <w:pStyle w:val="Header"/>
    </w:pPr>
    <w:r>
      <w:rPr>
        <w:noProof/>
      </w:rPr>
      <w:drawing>
        <wp:anchor distT="0" distB="0" distL="114300" distR="114300" simplePos="0" relativeHeight="251657216" behindDoc="1" locked="0" layoutInCell="1" allowOverlap="0" wp14:anchorId="33E3D79F" wp14:editId="46D3AC6D">
          <wp:simplePos x="0" y="0"/>
          <wp:positionH relativeFrom="page">
            <wp:align>left</wp:align>
          </wp:positionH>
          <wp:positionV relativeFrom="page">
            <wp:align>top</wp:align>
          </wp:positionV>
          <wp:extent cx="7559400" cy="10684800"/>
          <wp:effectExtent l="0" t="0" r="0" b="0"/>
          <wp:wrapNone/>
          <wp:docPr id="2116216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87812"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59400"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D78F3"/>
    <w:multiLevelType w:val="hybridMultilevel"/>
    <w:tmpl w:val="9ED02680"/>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 w15:restartNumberingAfterBreak="0">
    <w:nsid w:val="0E562482"/>
    <w:multiLevelType w:val="hybridMultilevel"/>
    <w:tmpl w:val="7ED4E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B3570C"/>
    <w:multiLevelType w:val="hybridMultilevel"/>
    <w:tmpl w:val="B9C2D5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4D942D3"/>
    <w:multiLevelType w:val="hybridMultilevel"/>
    <w:tmpl w:val="D63A1D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7E5D45"/>
    <w:multiLevelType w:val="hybridMultilevel"/>
    <w:tmpl w:val="E48C93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135402"/>
    <w:multiLevelType w:val="hybridMultilevel"/>
    <w:tmpl w:val="398AB3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2AE0DCD"/>
    <w:multiLevelType w:val="hybridMultilevel"/>
    <w:tmpl w:val="6C022918"/>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6640D1"/>
    <w:multiLevelType w:val="hybridMultilevel"/>
    <w:tmpl w:val="9ADC9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BF72288"/>
    <w:multiLevelType w:val="hybridMultilevel"/>
    <w:tmpl w:val="CA629B26"/>
    <w:lvl w:ilvl="0" w:tplc="AEEC3744">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EA05230"/>
    <w:multiLevelType w:val="hybridMultilevel"/>
    <w:tmpl w:val="615C92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3F1F4FEB"/>
    <w:multiLevelType w:val="hybridMultilevel"/>
    <w:tmpl w:val="77F0B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932CBB"/>
    <w:multiLevelType w:val="hybridMultilevel"/>
    <w:tmpl w:val="95349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B021991"/>
    <w:multiLevelType w:val="hybridMultilevel"/>
    <w:tmpl w:val="0E1C9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26D285D"/>
    <w:multiLevelType w:val="hybridMultilevel"/>
    <w:tmpl w:val="3DDEF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5AB2F27"/>
    <w:multiLevelType w:val="hybridMultilevel"/>
    <w:tmpl w:val="3B56A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7575377"/>
    <w:multiLevelType w:val="hybridMultilevel"/>
    <w:tmpl w:val="87DA2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C815546"/>
    <w:multiLevelType w:val="hybridMultilevel"/>
    <w:tmpl w:val="4A68CEBC"/>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E4C2A38"/>
    <w:multiLevelType w:val="hybridMultilevel"/>
    <w:tmpl w:val="C186A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2807A78"/>
    <w:multiLevelType w:val="hybridMultilevel"/>
    <w:tmpl w:val="B0BE179E"/>
    <w:lvl w:ilvl="0" w:tplc="AEEC3744">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5E61FA"/>
    <w:multiLevelType w:val="hybridMultilevel"/>
    <w:tmpl w:val="1DF6D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68F230C"/>
    <w:multiLevelType w:val="hybridMultilevel"/>
    <w:tmpl w:val="84B82F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7926F0A"/>
    <w:multiLevelType w:val="hybridMultilevel"/>
    <w:tmpl w:val="4C4680C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2" w15:restartNumberingAfterBreak="0">
    <w:nsid w:val="7935276C"/>
    <w:multiLevelType w:val="hybridMultilevel"/>
    <w:tmpl w:val="0E2890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94612809">
    <w:abstractNumId w:val="21"/>
  </w:num>
  <w:num w:numId="2" w16cid:durableId="207960623">
    <w:abstractNumId w:val="22"/>
  </w:num>
  <w:num w:numId="3" w16cid:durableId="687146812">
    <w:abstractNumId w:val="8"/>
  </w:num>
  <w:num w:numId="4" w16cid:durableId="1691488546">
    <w:abstractNumId w:val="19"/>
  </w:num>
  <w:num w:numId="5" w16cid:durableId="245771501">
    <w:abstractNumId w:val="11"/>
  </w:num>
  <w:num w:numId="6" w16cid:durableId="1886867943">
    <w:abstractNumId w:val="10"/>
  </w:num>
  <w:num w:numId="7" w16cid:durableId="643193988">
    <w:abstractNumId w:val="17"/>
  </w:num>
  <w:num w:numId="8" w16cid:durableId="1986080631">
    <w:abstractNumId w:val="7"/>
  </w:num>
  <w:num w:numId="9" w16cid:durableId="1707682166">
    <w:abstractNumId w:val="12"/>
  </w:num>
  <w:num w:numId="10" w16cid:durableId="876813866">
    <w:abstractNumId w:val="13"/>
  </w:num>
  <w:num w:numId="11" w16cid:durableId="641278067">
    <w:abstractNumId w:val="4"/>
  </w:num>
  <w:num w:numId="12" w16cid:durableId="2130591126">
    <w:abstractNumId w:val="2"/>
  </w:num>
  <w:num w:numId="13" w16cid:durableId="110978457">
    <w:abstractNumId w:val="20"/>
  </w:num>
  <w:num w:numId="14" w16cid:durableId="946348053">
    <w:abstractNumId w:val="0"/>
  </w:num>
  <w:num w:numId="15" w16cid:durableId="649670180">
    <w:abstractNumId w:val="14"/>
  </w:num>
  <w:num w:numId="16" w16cid:durableId="696927200">
    <w:abstractNumId w:val="6"/>
  </w:num>
  <w:num w:numId="17" w16cid:durableId="650401321">
    <w:abstractNumId w:val="16"/>
  </w:num>
  <w:num w:numId="18" w16cid:durableId="1105929483">
    <w:abstractNumId w:val="9"/>
  </w:num>
  <w:num w:numId="19" w16cid:durableId="1001347642">
    <w:abstractNumId w:val="5"/>
  </w:num>
  <w:num w:numId="20" w16cid:durableId="1064647681">
    <w:abstractNumId w:val="3"/>
  </w:num>
  <w:num w:numId="21" w16cid:durableId="242032931">
    <w:abstractNumId w:val="15"/>
  </w:num>
  <w:num w:numId="22" w16cid:durableId="980766607">
    <w:abstractNumId w:val="18"/>
  </w:num>
  <w:num w:numId="23" w16cid:durableId="1283197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52"/>
    <w:rsid w:val="000002DE"/>
    <w:rsid w:val="00000FB5"/>
    <w:rsid w:val="000016D3"/>
    <w:rsid w:val="0000485E"/>
    <w:rsid w:val="00006402"/>
    <w:rsid w:val="00007327"/>
    <w:rsid w:val="000114C9"/>
    <w:rsid w:val="00013637"/>
    <w:rsid w:val="00013984"/>
    <w:rsid w:val="000162C8"/>
    <w:rsid w:val="00017DBC"/>
    <w:rsid w:val="00020B90"/>
    <w:rsid w:val="00022C15"/>
    <w:rsid w:val="00024A78"/>
    <w:rsid w:val="00024EF8"/>
    <w:rsid w:val="00026342"/>
    <w:rsid w:val="00026877"/>
    <w:rsid w:val="00027D1A"/>
    <w:rsid w:val="00027ECA"/>
    <w:rsid w:val="000301DD"/>
    <w:rsid w:val="000302E3"/>
    <w:rsid w:val="00030766"/>
    <w:rsid w:val="00031216"/>
    <w:rsid w:val="000323D0"/>
    <w:rsid w:val="00033DA1"/>
    <w:rsid w:val="00034740"/>
    <w:rsid w:val="00034B48"/>
    <w:rsid w:val="00035075"/>
    <w:rsid w:val="00036A5B"/>
    <w:rsid w:val="000371A9"/>
    <w:rsid w:val="00037275"/>
    <w:rsid w:val="0004156D"/>
    <w:rsid w:val="000418E6"/>
    <w:rsid w:val="00041977"/>
    <w:rsid w:val="00042385"/>
    <w:rsid w:val="0004274F"/>
    <w:rsid w:val="00042D85"/>
    <w:rsid w:val="00043906"/>
    <w:rsid w:val="0004448C"/>
    <w:rsid w:val="0004675F"/>
    <w:rsid w:val="000478B6"/>
    <w:rsid w:val="00047F4F"/>
    <w:rsid w:val="000501E4"/>
    <w:rsid w:val="00050410"/>
    <w:rsid w:val="000507E7"/>
    <w:rsid w:val="00050954"/>
    <w:rsid w:val="00050EB4"/>
    <w:rsid w:val="00050F78"/>
    <w:rsid w:val="00051179"/>
    <w:rsid w:val="000516F9"/>
    <w:rsid w:val="0005211D"/>
    <w:rsid w:val="00053055"/>
    <w:rsid w:val="000533C9"/>
    <w:rsid w:val="00053DE6"/>
    <w:rsid w:val="000541E8"/>
    <w:rsid w:val="00062852"/>
    <w:rsid w:val="00063B6B"/>
    <w:rsid w:val="000642BB"/>
    <w:rsid w:val="00064B12"/>
    <w:rsid w:val="00064CFA"/>
    <w:rsid w:val="00065E6B"/>
    <w:rsid w:val="0006716D"/>
    <w:rsid w:val="00071F00"/>
    <w:rsid w:val="00072DF4"/>
    <w:rsid w:val="00073FD8"/>
    <w:rsid w:val="00074387"/>
    <w:rsid w:val="000801EC"/>
    <w:rsid w:val="00080885"/>
    <w:rsid w:val="00080F20"/>
    <w:rsid w:val="00083117"/>
    <w:rsid w:val="0008330F"/>
    <w:rsid w:val="00085573"/>
    <w:rsid w:val="00085BBE"/>
    <w:rsid w:val="00085D3D"/>
    <w:rsid w:val="000873BB"/>
    <w:rsid w:val="0009098E"/>
    <w:rsid w:val="00090A81"/>
    <w:rsid w:val="00091FCD"/>
    <w:rsid w:val="000923C1"/>
    <w:rsid w:val="00094F19"/>
    <w:rsid w:val="0009593F"/>
    <w:rsid w:val="00096DD1"/>
    <w:rsid w:val="00097DC4"/>
    <w:rsid w:val="000A1C27"/>
    <w:rsid w:val="000A3C5A"/>
    <w:rsid w:val="000A4546"/>
    <w:rsid w:val="000A4A28"/>
    <w:rsid w:val="000A569E"/>
    <w:rsid w:val="000A5990"/>
    <w:rsid w:val="000A70A3"/>
    <w:rsid w:val="000A746E"/>
    <w:rsid w:val="000A7774"/>
    <w:rsid w:val="000B04BC"/>
    <w:rsid w:val="000B08D5"/>
    <w:rsid w:val="000B0EC2"/>
    <w:rsid w:val="000B2C80"/>
    <w:rsid w:val="000B2DAD"/>
    <w:rsid w:val="000B2F28"/>
    <w:rsid w:val="000B34F1"/>
    <w:rsid w:val="000B3606"/>
    <w:rsid w:val="000B3B91"/>
    <w:rsid w:val="000B4130"/>
    <w:rsid w:val="000B451C"/>
    <w:rsid w:val="000B4BD7"/>
    <w:rsid w:val="000B4C44"/>
    <w:rsid w:val="000B5365"/>
    <w:rsid w:val="000C0187"/>
    <w:rsid w:val="000C0923"/>
    <w:rsid w:val="000C0BC1"/>
    <w:rsid w:val="000C1E0E"/>
    <w:rsid w:val="000C236D"/>
    <w:rsid w:val="000C433D"/>
    <w:rsid w:val="000C4467"/>
    <w:rsid w:val="000C57B8"/>
    <w:rsid w:val="000C71E7"/>
    <w:rsid w:val="000C71F8"/>
    <w:rsid w:val="000C7313"/>
    <w:rsid w:val="000C7E8D"/>
    <w:rsid w:val="000D0BB5"/>
    <w:rsid w:val="000D3C5C"/>
    <w:rsid w:val="000D58B6"/>
    <w:rsid w:val="000D5D61"/>
    <w:rsid w:val="000D5E58"/>
    <w:rsid w:val="000D635A"/>
    <w:rsid w:val="000E04DE"/>
    <w:rsid w:val="000E09E9"/>
    <w:rsid w:val="000E11B8"/>
    <w:rsid w:val="000E1682"/>
    <w:rsid w:val="000E1A27"/>
    <w:rsid w:val="000E1ED7"/>
    <w:rsid w:val="000E3BBF"/>
    <w:rsid w:val="000E5476"/>
    <w:rsid w:val="000E64A7"/>
    <w:rsid w:val="000E66D0"/>
    <w:rsid w:val="000F0B8F"/>
    <w:rsid w:val="000F2AEF"/>
    <w:rsid w:val="000F38AD"/>
    <w:rsid w:val="000F60FF"/>
    <w:rsid w:val="000F66A5"/>
    <w:rsid w:val="0010021A"/>
    <w:rsid w:val="00100703"/>
    <w:rsid w:val="00100C80"/>
    <w:rsid w:val="00101DB5"/>
    <w:rsid w:val="00102A03"/>
    <w:rsid w:val="0010361C"/>
    <w:rsid w:val="001050BB"/>
    <w:rsid w:val="00106637"/>
    <w:rsid w:val="00107A4B"/>
    <w:rsid w:val="00107E77"/>
    <w:rsid w:val="001103A9"/>
    <w:rsid w:val="00111039"/>
    <w:rsid w:val="00111316"/>
    <w:rsid w:val="00111463"/>
    <w:rsid w:val="001125DD"/>
    <w:rsid w:val="00113090"/>
    <w:rsid w:val="00113E25"/>
    <w:rsid w:val="001144F8"/>
    <w:rsid w:val="00114F8C"/>
    <w:rsid w:val="00115FED"/>
    <w:rsid w:val="0012142E"/>
    <w:rsid w:val="00121A58"/>
    <w:rsid w:val="00122E00"/>
    <w:rsid w:val="00123F54"/>
    <w:rsid w:val="00123F8A"/>
    <w:rsid w:val="00124AE1"/>
    <w:rsid w:val="00124C88"/>
    <w:rsid w:val="00125C17"/>
    <w:rsid w:val="00130304"/>
    <w:rsid w:val="00130AD4"/>
    <w:rsid w:val="00130DAF"/>
    <w:rsid w:val="001320CE"/>
    <w:rsid w:val="00132B01"/>
    <w:rsid w:val="00133A0D"/>
    <w:rsid w:val="00134E06"/>
    <w:rsid w:val="00134E58"/>
    <w:rsid w:val="001351CF"/>
    <w:rsid w:val="001353B1"/>
    <w:rsid w:val="00135550"/>
    <w:rsid w:val="0013746C"/>
    <w:rsid w:val="00137B79"/>
    <w:rsid w:val="00137DCF"/>
    <w:rsid w:val="0014065C"/>
    <w:rsid w:val="00141828"/>
    <w:rsid w:val="0014191D"/>
    <w:rsid w:val="00144396"/>
    <w:rsid w:val="00144986"/>
    <w:rsid w:val="00145A49"/>
    <w:rsid w:val="001464C4"/>
    <w:rsid w:val="00150828"/>
    <w:rsid w:val="0015164B"/>
    <w:rsid w:val="00151AFD"/>
    <w:rsid w:val="00154CF2"/>
    <w:rsid w:val="00155AC5"/>
    <w:rsid w:val="00155CC7"/>
    <w:rsid w:val="001563D2"/>
    <w:rsid w:val="00160366"/>
    <w:rsid w:val="00160A80"/>
    <w:rsid w:val="001618EC"/>
    <w:rsid w:val="00161ABD"/>
    <w:rsid w:val="001621A1"/>
    <w:rsid w:val="001621D9"/>
    <w:rsid w:val="0016284E"/>
    <w:rsid w:val="00162928"/>
    <w:rsid w:val="00164F8E"/>
    <w:rsid w:val="00165948"/>
    <w:rsid w:val="001675D4"/>
    <w:rsid w:val="00167CED"/>
    <w:rsid w:val="00170A76"/>
    <w:rsid w:val="00173E50"/>
    <w:rsid w:val="00174858"/>
    <w:rsid w:val="00175701"/>
    <w:rsid w:val="0017610F"/>
    <w:rsid w:val="0017684C"/>
    <w:rsid w:val="00180182"/>
    <w:rsid w:val="0018202B"/>
    <w:rsid w:val="001824BB"/>
    <w:rsid w:val="001825EA"/>
    <w:rsid w:val="00182633"/>
    <w:rsid w:val="00182E8B"/>
    <w:rsid w:val="001831B1"/>
    <w:rsid w:val="00183330"/>
    <w:rsid w:val="00183CF7"/>
    <w:rsid w:val="00186475"/>
    <w:rsid w:val="001864DF"/>
    <w:rsid w:val="00186743"/>
    <w:rsid w:val="00187C10"/>
    <w:rsid w:val="001901A9"/>
    <w:rsid w:val="001904CB"/>
    <w:rsid w:val="001905BA"/>
    <w:rsid w:val="001915CE"/>
    <w:rsid w:val="00191999"/>
    <w:rsid w:val="00194BE8"/>
    <w:rsid w:val="00195273"/>
    <w:rsid w:val="00196404"/>
    <w:rsid w:val="00196A60"/>
    <w:rsid w:val="00196CC8"/>
    <w:rsid w:val="001A238D"/>
    <w:rsid w:val="001A48E8"/>
    <w:rsid w:val="001A4DA1"/>
    <w:rsid w:val="001B1A3B"/>
    <w:rsid w:val="001B20B4"/>
    <w:rsid w:val="001B217C"/>
    <w:rsid w:val="001B2479"/>
    <w:rsid w:val="001B2DBC"/>
    <w:rsid w:val="001B3DE7"/>
    <w:rsid w:val="001B4AF7"/>
    <w:rsid w:val="001B593C"/>
    <w:rsid w:val="001B64A6"/>
    <w:rsid w:val="001C0867"/>
    <w:rsid w:val="001C2528"/>
    <w:rsid w:val="001C2A64"/>
    <w:rsid w:val="001C3ECD"/>
    <w:rsid w:val="001C3F22"/>
    <w:rsid w:val="001C40F8"/>
    <w:rsid w:val="001C5B4E"/>
    <w:rsid w:val="001C5DDE"/>
    <w:rsid w:val="001C7252"/>
    <w:rsid w:val="001C7B9B"/>
    <w:rsid w:val="001D135A"/>
    <w:rsid w:val="001D4681"/>
    <w:rsid w:val="001D72ED"/>
    <w:rsid w:val="001D78EF"/>
    <w:rsid w:val="001E07F8"/>
    <w:rsid w:val="001E0E46"/>
    <w:rsid w:val="001E1A6D"/>
    <w:rsid w:val="001E1B80"/>
    <w:rsid w:val="001E1F28"/>
    <w:rsid w:val="001E244C"/>
    <w:rsid w:val="001E29C8"/>
    <w:rsid w:val="001E36FF"/>
    <w:rsid w:val="001E37AE"/>
    <w:rsid w:val="001E3ED7"/>
    <w:rsid w:val="001E3FD3"/>
    <w:rsid w:val="001E502A"/>
    <w:rsid w:val="001E61EC"/>
    <w:rsid w:val="001F0398"/>
    <w:rsid w:val="001F19E6"/>
    <w:rsid w:val="001F1CB0"/>
    <w:rsid w:val="001F2786"/>
    <w:rsid w:val="001F2B2E"/>
    <w:rsid w:val="001F322D"/>
    <w:rsid w:val="001F3F1C"/>
    <w:rsid w:val="001F5B7E"/>
    <w:rsid w:val="001F7DC6"/>
    <w:rsid w:val="002016BB"/>
    <w:rsid w:val="00202E6B"/>
    <w:rsid w:val="00202EFC"/>
    <w:rsid w:val="00204FD5"/>
    <w:rsid w:val="00205C38"/>
    <w:rsid w:val="0020744A"/>
    <w:rsid w:val="00207488"/>
    <w:rsid w:val="00210357"/>
    <w:rsid w:val="002123C6"/>
    <w:rsid w:val="0021240C"/>
    <w:rsid w:val="00212F9B"/>
    <w:rsid w:val="002146B1"/>
    <w:rsid w:val="002147C0"/>
    <w:rsid w:val="002161E9"/>
    <w:rsid w:val="00216773"/>
    <w:rsid w:val="00217FD3"/>
    <w:rsid w:val="0022054D"/>
    <w:rsid w:val="00220A53"/>
    <w:rsid w:val="00220D7D"/>
    <w:rsid w:val="0022289E"/>
    <w:rsid w:val="00223DD0"/>
    <w:rsid w:val="00226204"/>
    <w:rsid w:val="00226C03"/>
    <w:rsid w:val="00227A2C"/>
    <w:rsid w:val="002303EC"/>
    <w:rsid w:val="00230B5B"/>
    <w:rsid w:val="00230B63"/>
    <w:rsid w:val="002310AA"/>
    <w:rsid w:val="00232576"/>
    <w:rsid w:val="00234A61"/>
    <w:rsid w:val="00235322"/>
    <w:rsid w:val="00236954"/>
    <w:rsid w:val="00236ECC"/>
    <w:rsid w:val="002405D5"/>
    <w:rsid w:val="0024071B"/>
    <w:rsid w:val="00242E72"/>
    <w:rsid w:val="002432F7"/>
    <w:rsid w:val="002444F8"/>
    <w:rsid w:val="00244758"/>
    <w:rsid w:val="002454A3"/>
    <w:rsid w:val="002459F5"/>
    <w:rsid w:val="00245BF2"/>
    <w:rsid w:val="00245F52"/>
    <w:rsid w:val="00246A7C"/>
    <w:rsid w:val="00250A9D"/>
    <w:rsid w:val="00251268"/>
    <w:rsid w:val="00251458"/>
    <w:rsid w:val="00252A2D"/>
    <w:rsid w:val="002536BA"/>
    <w:rsid w:val="002542C9"/>
    <w:rsid w:val="00256106"/>
    <w:rsid w:val="002564DA"/>
    <w:rsid w:val="002566D8"/>
    <w:rsid w:val="00261074"/>
    <w:rsid w:val="00261FB1"/>
    <w:rsid w:val="00262CFF"/>
    <w:rsid w:val="00263DAC"/>
    <w:rsid w:val="00266F7A"/>
    <w:rsid w:val="0027131A"/>
    <w:rsid w:val="00271ECE"/>
    <w:rsid w:val="0027209F"/>
    <w:rsid w:val="00273839"/>
    <w:rsid w:val="0027474E"/>
    <w:rsid w:val="00274BB9"/>
    <w:rsid w:val="00274BDE"/>
    <w:rsid w:val="00274CED"/>
    <w:rsid w:val="002771D8"/>
    <w:rsid w:val="0027770B"/>
    <w:rsid w:val="0027776B"/>
    <w:rsid w:val="00280938"/>
    <w:rsid w:val="00280B7B"/>
    <w:rsid w:val="00281229"/>
    <w:rsid w:val="00281E47"/>
    <w:rsid w:val="00283466"/>
    <w:rsid w:val="002838DA"/>
    <w:rsid w:val="0028497B"/>
    <w:rsid w:val="00285C2D"/>
    <w:rsid w:val="00286016"/>
    <w:rsid w:val="0028697A"/>
    <w:rsid w:val="00286C98"/>
    <w:rsid w:val="00286EAC"/>
    <w:rsid w:val="00287088"/>
    <w:rsid w:val="002904C2"/>
    <w:rsid w:val="00291A52"/>
    <w:rsid w:val="0029200C"/>
    <w:rsid w:val="00292934"/>
    <w:rsid w:val="00292DAA"/>
    <w:rsid w:val="002949CC"/>
    <w:rsid w:val="002956FB"/>
    <w:rsid w:val="00295E36"/>
    <w:rsid w:val="002A0D3D"/>
    <w:rsid w:val="002A3832"/>
    <w:rsid w:val="002A506E"/>
    <w:rsid w:val="002A5A14"/>
    <w:rsid w:val="002A5C10"/>
    <w:rsid w:val="002A6E93"/>
    <w:rsid w:val="002B198A"/>
    <w:rsid w:val="002B201F"/>
    <w:rsid w:val="002B28C7"/>
    <w:rsid w:val="002B2EDA"/>
    <w:rsid w:val="002B4C39"/>
    <w:rsid w:val="002B71AB"/>
    <w:rsid w:val="002C0608"/>
    <w:rsid w:val="002C1E6F"/>
    <w:rsid w:val="002C3873"/>
    <w:rsid w:val="002C4E44"/>
    <w:rsid w:val="002C54BA"/>
    <w:rsid w:val="002C5798"/>
    <w:rsid w:val="002C591A"/>
    <w:rsid w:val="002C68B3"/>
    <w:rsid w:val="002C695C"/>
    <w:rsid w:val="002C77FC"/>
    <w:rsid w:val="002C7848"/>
    <w:rsid w:val="002C7DD3"/>
    <w:rsid w:val="002D0891"/>
    <w:rsid w:val="002D16AA"/>
    <w:rsid w:val="002D1A6B"/>
    <w:rsid w:val="002D424F"/>
    <w:rsid w:val="002D4985"/>
    <w:rsid w:val="002D4FB8"/>
    <w:rsid w:val="002D565E"/>
    <w:rsid w:val="002D5B94"/>
    <w:rsid w:val="002D6DF2"/>
    <w:rsid w:val="002D77C4"/>
    <w:rsid w:val="002E1070"/>
    <w:rsid w:val="002E1159"/>
    <w:rsid w:val="002E27F9"/>
    <w:rsid w:val="002E40B8"/>
    <w:rsid w:val="002E5EC5"/>
    <w:rsid w:val="002E6FFD"/>
    <w:rsid w:val="002F1DCB"/>
    <w:rsid w:val="002F1FA5"/>
    <w:rsid w:val="002F4768"/>
    <w:rsid w:val="002F4B52"/>
    <w:rsid w:val="002F604C"/>
    <w:rsid w:val="002F6D2A"/>
    <w:rsid w:val="00300DBB"/>
    <w:rsid w:val="00301AB5"/>
    <w:rsid w:val="00302792"/>
    <w:rsid w:val="00302C8F"/>
    <w:rsid w:val="00302C97"/>
    <w:rsid w:val="00302FBF"/>
    <w:rsid w:val="00302FFC"/>
    <w:rsid w:val="0030387A"/>
    <w:rsid w:val="00304576"/>
    <w:rsid w:val="00304C04"/>
    <w:rsid w:val="003050B2"/>
    <w:rsid w:val="003058CD"/>
    <w:rsid w:val="00305A43"/>
    <w:rsid w:val="00305C44"/>
    <w:rsid w:val="003065CE"/>
    <w:rsid w:val="00306914"/>
    <w:rsid w:val="00306F4E"/>
    <w:rsid w:val="00307995"/>
    <w:rsid w:val="00310666"/>
    <w:rsid w:val="003106FC"/>
    <w:rsid w:val="00310948"/>
    <w:rsid w:val="00312303"/>
    <w:rsid w:val="00312D74"/>
    <w:rsid w:val="00313821"/>
    <w:rsid w:val="003138D4"/>
    <w:rsid w:val="00313B25"/>
    <w:rsid w:val="00314836"/>
    <w:rsid w:val="0031494A"/>
    <w:rsid w:val="00315794"/>
    <w:rsid w:val="00315B11"/>
    <w:rsid w:val="003169A3"/>
    <w:rsid w:val="00317676"/>
    <w:rsid w:val="00321287"/>
    <w:rsid w:val="003217DD"/>
    <w:rsid w:val="00321EC4"/>
    <w:rsid w:val="00322212"/>
    <w:rsid w:val="003226A4"/>
    <w:rsid w:val="00323277"/>
    <w:rsid w:val="00324794"/>
    <w:rsid w:val="00327064"/>
    <w:rsid w:val="003273EF"/>
    <w:rsid w:val="003275CA"/>
    <w:rsid w:val="00327A9B"/>
    <w:rsid w:val="00330437"/>
    <w:rsid w:val="00330D0F"/>
    <w:rsid w:val="00330D86"/>
    <w:rsid w:val="00331382"/>
    <w:rsid w:val="0033330A"/>
    <w:rsid w:val="00333C89"/>
    <w:rsid w:val="00334579"/>
    <w:rsid w:val="0033471D"/>
    <w:rsid w:val="003362A9"/>
    <w:rsid w:val="003369D0"/>
    <w:rsid w:val="00336E2E"/>
    <w:rsid w:val="00337D48"/>
    <w:rsid w:val="00340825"/>
    <w:rsid w:val="0034229E"/>
    <w:rsid w:val="00342E9D"/>
    <w:rsid w:val="003434DC"/>
    <w:rsid w:val="003436C5"/>
    <w:rsid w:val="00343E10"/>
    <w:rsid w:val="00343FF2"/>
    <w:rsid w:val="00344228"/>
    <w:rsid w:val="003456CF"/>
    <w:rsid w:val="00353396"/>
    <w:rsid w:val="00354A64"/>
    <w:rsid w:val="003554FD"/>
    <w:rsid w:val="0035550C"/>
    <w:rsid w:val="003561EF"/>
    <w:rsid w:val="00356360"/>
    <w:rsid w:val="003566AA"/>
    <w:rsid w:val="003569EF"/>
    <w:rsid w:val="0035710D"/>
    <w:rsid w:val="00360785"/>
    <w:rsid w:val="0036373E"/>
    <w:rsid w:val="003637ED"/>
    <w:rsid w:val="00365A3E"/>
    <w:rsid w:val="00366E8C"/>
    <w:rsid w:val="003679EC"/>
    <w:rsid w:val="00367E9D"/>
    <w:rsid w:val="003700FF"/>
    <w:rsid w:val="00372915"/>
    <w:rsid w:val="00373471"/>
    <w:rsid w:val="003758DE"/>
    <w:rsid w:val="0038060E"/>
    <w:rsid w:val="003806D7"/>
    <w:rsid w:val="00380E52"/>
    <w:rsid w:val="003822B3"/>
    <w:rsid w:val="00382758"/>
    <w:rsid w:val="0038278E"/>
    <w:rsid w:val="003829B3"/>
    <w:rsid w:val="00384075"/>
    <w:rsid w:val="003849EC"/>
    <w:rsid w:val="00386178"/>
    <w:rsid w:val="00386740"/>
    <w:rsid w:val="003871B9"/>
    <w:rsid w:val="003871D8"/>
    <w:rsid w:val="0038794C"/>
    <w:rsid w:val="00387C98"/>
    <w:rsid w:val="00387E6F"/>
    <w:rsid w:val="00390782"/>
    <w:rsid w:val="003914FC"/>
    <w:rsid w:val="00391E91"/>
    <w:rsid w:val="00392834"/>
    <w:rsid w:val="00392B18"/>
    <w:rsid w:val="00393239"/>
    <w:rsid w:val="003937B1"/>
    <w:rsid w:val="0039557E"/>
    <w:rsid w:val="003A0AB3"/>
    <w:rsid w:val="003A0BFB"/>
    <w:rsid w:val="003A2328"/>
    <w:rsid w:val="003A2D32"/>
    <w:rsid w:val="003A388A"/>
    <w:rsid w:val="003A38E9"/>
    <w:rsid w:val="003A444A"/>
    <w:rsid w:val="003A4705"/>
    <w:rsid w:val="003A4839"/>
    <w:rsid w:val="003A4B16"/>
    <w:rsid w:val="003A595D"/>
    <w:rsid w:val="003A5EC4"/>
    <w:rsid w:val="003A60EB"/>
    <w:rsid w:val="003A70BA"/>
    <w:rsid w:val="003A71A9"/>
    <w:rsid w:val="003A7A8E"/>
    <w:rsid w:val="003B00C2"/>
    <w:rsid w:val="003B0D10"/>
    <w:rsid w:val="003B1051"/>
    <w:rsid w:val="003B4041"/>
    <w:rsid w:val="003B4A4D"/>
    <w:rsid w:val="003B4DE6"/>
    <w:rsid w:val="003B5227"/>
    <w:rsid w:val="003B5B68"/>
    <w:rsid w:val="003B5FC7"/>
    <w:rsid w:val="003B6CB4"/>
    <w:rsid w:val="003B7133"/>
    <w:rsid w:val="003B7C8B"/>
    <w:rsid w:val="003C0FDA"/>
    <w:rsid w:val="003C23CC"/>
    <w:rsid w:val="003C3CC3"/>
    <w:rsid w:val="003C45E3"/>
    <w:rsid w:val="003C63DF"/>
    <w:rsid w:val="003C63F9"/>
    <w:rsid w:val="003C7997"/>
    <w:rsid w:val="003D12E7"/>
    <w:rsid w:val="003D1708"/>
    <w:rsid w:val="003D1A64"/>
    <w:rsid w:val="003D2121"/>
    <w:rsid w:val="003D3B3B"/>
    <w:rsid w:val="003D6390"/>
    <w:rsid w:val="003D6502"/>
    <w:rsid w:val="003D6562"/>
    <w:rsid w:val="003E124D"/>
    <w:rsid w:val="003E2F32"/>
    <w:rsid w:val="003E3670"/>
    <w:rsid w:val="003E4DA4"/>
    <w:rsid w:val="003E7851"/>
    <w:rsid w:val="003F1646"/>
    <w:rsid w:val="003F1A4F"/>
    <w:rsid w:val="003F29E5"/>
    <w:rsid w:val="003F3930"/>
    <w:rsid w:val="003F4AE5"/>
    <w:rsid w:val="003F50E1"/>
    <w:rsid w:val="003F525F"/>
    <w:rsid w:val="003F62FA"/>
    <w:rsid w:val="003F6CA8"/>
    <w:rsid w:val="003F73C6"/>
    <w:rsid w:val="003F7589"/>
    <w:rsid w:val="003F7749"/>
    <w:rsid w:val="003F78F6"/>
    <w:rsid w:val="003F7ACC"/>
    <w:rsid w:val="003F7EFE"/>
    <w:rsid w:val="0040044A"/>
    <w:rsid w:val="0040087D"/>
    <w:rsid w:val="00400C53"/>
    <w:rsid w:val="00401F42"/>
    <w:rsid w:val="00403D6B"/>
    <w:rsid w:val="00404371"/>
    <w:rsid w:val="00404514"/>
    <w:rsid w:val="00404568"/>
    <w:rsid w:val="0040638B"/>
    <w:rsid w:val="00406AFA"/>
    <w:rsid w:val="004073A6"/>
    <w:rsid w:val="00407549"/>
    <w:rsid w:val="00410AFA"/>
    <w:rsid w:val="00412B0A"/>
    <w:rsid w:val="004137E4"/>
    <w:rsid w:val="004138AD"/>
    <w:rsid w:val="0041412F"/>
    <w:rsid w:val="00414213"/>
    <w:rsid w:val="00414CD4"/>
    <w:rsid w:val="00414E2D"/>
    <w:rsid w:val="0041556E"/>
    <w:rsid w:val="00415A0C"/>
    <w:rsid w:val="00415F77"/>
    <w:rsid w:val="0041670F"/>
    <w:rsid w:val="00416EA0"/>
    <w:rsid w:val="004175F7"/>
    <w:rsid w:val="004201A9"/>
    <w:rsid w:val="00420D26"/>
    <w:rsid w:val="00422B4B"/>
    <w:rsid w:val="00422C48"/>
    <w:rsid w:val="00423878"/>
    <w:rsid w:val="0042449B"/>
    <w:rsid w:val="0042739B"/>
    <w:rsid w:val="00427E69"/>
    <w:rsid w:val="004346B7"/>
    <w:rsid w:val="00434CDD"/>
    <w:rsid w:val="00435D50"/>
    <w:rsid w:val="00441F92"/>
    <w:rsid w:val="00442A1A"/>
    <w:rsid w:val="00442A7E"/>
    <w:rsid w:val="00442B0E"/>
    <w:rsid w:val="00443079"/>
    <w:rsid w:val="00444391"/>
    <w:rsid w:val="004456D1"/>
    <w:rsid w:val="004502B4"/>
    <w:rsid w:val="0045054F"/>
    <w:rsid w:val="004518A6"/>
    <w:rsid w:val="00451987"/>
    <w:rsid w:val="00451AE8"/>
    <w:rsid w:val="004537A5"/>
    <w:rsid w:val="00455149"/>
    <w:rsid w:val="004555E7"/>
    <w:rsid w:val="00455A63"/>
    <w:rsid w:val="00456E59"/>
    <w:rsid w:val="0046001D"/>
    <w:rsid w:val="004600E3"/>
    <w:rsid w:val="004601F1"/>
    <w:rsid w:val="004614F3"/>
    <w:rsid w:val="00461858"/>
    <w:rsid w:val="00463688"/>
    <w:rsid w:val="004640E2"/>
    <w:rsid w:val="004663A4"/>
    <w:rsid w:val="0046775A"/>
    <w:rsid w:val="004677EF"/>
    <w:rsid w:val="00467BA5"/>
    <w:rsid w:val="004709B9"/>
    <w:rsid w:val="00470A0C"/>
    <w:rsid w:val="00470F22"/>
    <w:rsid w:val="00472632"/>
    <w:rsid w:val="00472E12"/>
    <w:rsid w:val="00474FFD"/>
    <w:rsid w:val="00475452"/>
    <w:rsid w:val="00475E53"/>
    <w:rsid w:val="004763B4"/>
    <w:rsid w:val="00476C40"/>
    <w:rsid w:val="004775EE"/>
    <w:rsid w:val="00481B1E"/>
    <w:rsid w:val="00481B28"/>
    <w:rsid w:val="00481C07"/>
    <w:rsid w:val="00481FE3"/>
    <w:rsid w:val="004822B7"/>
    <w:rsid w:val="00482CE5"/>
    <w:rsid w:val="00482D4B"/>
    <w:rsid w:val="004832A1"/>
    <w:rsid w:val="00483E77"/>
    <w:rsid w:val="00483EB5"/>
    <w:rsid w:val="00484675"/>
    <w:rsid w:val="0048584F"/>
    <w:rsid w:val="00485C28"/>
    <w:rsid w:val="00485E99"/>
    <w:rsid w:val="0048607B"/>
    <w:rsid w:val="004867BA"/>
    <w:rsid w:val="00486A6A"/>
    <w:rsid w:val="00491021"/>
    <w:rsid w:val="00491C92"/>
    <w:rsid w:val="00492189"/>
    <w:rsid w:val="004955A4"/>
    <w:rsid w:val="00495673"/>
    <w:rsid w:val="00495CFF"/>
    <w:rsid w:val="00496A69"/>
    <w:rsid w:val="004978DB"/>
    <w:rsid w:val="00497D01"/>
    <w:rsid w:val="004A2C67"/>
    <w:rsid w:val="004A40E5"/>
    <w:rsid w:val="004A45F5"/>
    <w:rsid w:val="004A5D0D"/>
    <w:rsid w:val="004A619B"/>
    <w:rsid w:val="004A7DC5"/>
    <w:rsid w:val="004B0B11"/>
    <w:rsid w:val="004B10AB"/>
    <w:rsid w:val="004B131C"/>
    <w:rsid w:val="004B2221"/>
    <w:rsid w:val="004B22A1"/>
    <w:rsid w:val="004B2C85"/>
    <w:rsid w:val="004B2D1D"/>
    <w:rsid w:val="004B4B46"/>
    <w:rsid w:val="004B55A0"/>
    <w:rsid w:val="004B5E6D"/>
    <w:rsid w:val="004B7788"/>
    <w:rsid w:val="004C01BD"/>
    <w:rsid w:val="004C0D0E"/>
    <w:rsid w:val="004C2126"/>
    <w:rsid w:val="004C315D"/>
    <w:rsid w:val="004C3FB5"/>
    <w:rsid w:val="004C75C7"/>
    <w:rsid w:val="004C793D"/>
    <w:rsid w:val="004D02EB"/>
    <w:rsid w:val="004D0601"/>
    <w:rsid w:val="004D2492"/>
    <w:rsid w:val="004D27E5"/>
    <w:rsid w:val="004D2D02"/>
    <w:rsid w:val="004D37BC"/>
    <w:rsid w:val="004D53B2"/>
    <w:rsid w:val="004D6E6F"/>
    <w:rsid w:val="004D6FBA"/>
    <w:rsid w:val="004D784B"/>
    <w:rsid w:val="004E187E"/>
    <w:rsid w:val="004E2353"/>
    <w:rsid w:val="004E2CFC"/>
    <w:rsid w:val="004E2F09"/>
    <w:rsid w:val="004E42F4"/>
    <w:rsid w:val="004E4E6A"/>
    <w:rsid w:val="004E62FB"/>
    <w:rsid w:val="004E779A"/>
    <w:rsid w:val="004F0412"/>
    <w:rsid w:val="004F17EF"/>
    <w:rsid w:val="004F191D"/>
    <w:rsid w:val="004F1A5F"/>
    <w:rsid w:val="004F24BB"/>
    <w:rsid w:val="004F31C0"/>
    <w:rsid w:val="004F354A"/>
    <w:rsid w:val="004F4C07"/>
    <w:rsid w:val="004F601E"/>
    <w:rsid w:val="004F70FE"/>
    <w:rsid w:val="004F7250"/>
    <w:rsid w:val="004F7777"/>
    <w:rsid w:val="005005B0"/>
    <w:rsid w:val="005011C6"/>
    <w:rsid w:val="0050270F"/>
    <w:rsid w:val="005032C6"/>
    <w:rsid w:val="005039E2"/>
    <w:rsid w:val="00503C19"/>
    <w:rsid w:val="00504251"/>
    <w:rsid w:val="0050508A"/>
    <w:rsid w:val="005056D5"/>
    <w:rsid w:val="00505932"/>
    <w:rsid w:val="00507763"/>
    <w:rsid w:val="00510EEB"/>
    <w:rsid w:val="00511423"/>
    <w:rsid w:val="00511F8E"/>
    <w:rsid w:val="00512755"/>
    <w:rsid w:val="0051276D"/>
    <w:rsid w:val="005127DE"/>
    <w:rsid w:val="00513428"/>
    <w:rsid w:val="005139CF"/>
    <w:rsid w:val="00514067"/>
    <w:rsid w:val="005154A2"/>
    <w:rsid w:val="00517465"/>
    <w:rsid w:val="00520DCB"/>
    <w:rsid w:val="005218DD"/>
    <w:rsid w:val="00521EDC"/>
    <w:rsid w:val="005226E4"/>
    <w:rsid w:val="00522B1B"/>
    <w:rsid w:val="00522ECA"/>
    <w:rsid w:val="00524463"/>
    <w:rsid w:val="00524B9F"/>
    <w:rsid w:val="00526027"/>
    <w:rsid w:val="0052647F"/>
    <w:rsid w:val="005267D1"/>
    <w:rsid w:val="005276EB"/>
    <w:rsid w:val="00530581"/>
    <w:rsid w:val="005306DE"/>
    <w:rsid w:val="00530DBA"/>
    <w:rsid w:val="0053278D"/>
    <w:rsid w:val="0053319F"/>
    <w:rsid w:val="0054119A"/>
    <w:rsid w:val="0054129D"/>
    <w:rsid w:val="005418A2"/>
    <w:rsid w:val="00542405"/>
    <w:rsid w:val="005434DA"/>
    <w:rsid w:val="005447E8"/>
    <w:rsid w:val="00545026"/>
    <w:rsid w:val="00546C3B"/>
    <w:rsid w:val="0055253D"/>
    <w:rsid w:val="00552F15"/>
    <w:rsid w:val="005566D7"/>
    <w:rsid w:val="00557686"/>
    <w:rsid w:val="00560BC2"/>
    <w:rsid w:val="00563123"/>
    <w:rsid w:val="00563858"/>
    <w:rsid w:val="00563BF2"/>
    <w:rsid w:val="00564AFC"/>
    <w:rsid w:val="005653C9"/>
    <w:rsid w:val="00567E36"/>
    <w:rsid w:val="00570EAB"/>
    <w:rsid w:val="00571E48"/>
    <w:rsid w:val="005731BF"/>
    <w:rsid w:val="00573DA6"/>
    <w:rsid w:val="00574C4C"/>
    <w:rsid w:val="00575B37"/>
    <w:rsid w:val="00575D12"/>
    <w:rsid w:val="0057765B"/>
    <w:rsid w:val="00581C39"/>
    <w:rsid w:val="00582EA7"/>
    <w:rsid w:val="00583086"/>
    <w:rsid w:val="00584FF3"/>
    <w:rsid w:val="005855EA"/>
    <w:rsid w:val="00585614"/>
    <w:rsid w:val="00585664"/>
    <w:rsid w:val="00586570"/>
    <w:rsid w:val="005865B9"/>
    <w:rsid w:val="00586C21"/>
    <w:rsid w:val="00587176"/>
    <w:rsid w:val="0058758F"/>
    <w:rsid w:val="005879E5"/>
    <w:rsid w:val="00587FB2"/>
    <w:rsid w:val="0059041E"/>
    <w:rsid w:val="005911B8"/>
    <w:rsid w:val="00592B07"/>
    <w:rsid w:val="005942A9"/>
    <w:rsid w:val="0059528F"/>
    <w:rsid w:val="00596A25"/>
    <w:rsid w:val="005A0666"/>
    <w:rsid w:val="005A0F3A"/>
    <w:rsid w:val="005A3895"/>
    <w:rsid w:val="005A38F8"/>
    <w:rsid w:val="005A43AD"/>
    <w:rsid w:val="005A4BB4"/>
    <w:rsid w:val="005A53A7"/>
    <w:rsid w:val="005A597A"/>
    <w:rsid w:val="005A733E"/>
    <w:rsid w:val="005A7D9B"/>
    <w:rsid w:val="005B0872"/>
    <w:rsid w:val="005B08A1"/>
    <w:rsid w:val="005B1B7A"/>
    <w:rsid w:val="005B27D1"/>
    <w:rsid w:val="005B316E"/>
    <w:rsid w:val="005B31A9"/>
    <w:rsid w:val="005B34E4"/>
    <w:rsid w:val="005B4C0D"/>
    <w:rsid w:val="005B4EEA"/>
    <w:rsid w:val="005B5095"/>
    <w:rsid w:val="005B559C"/>
    <w:rsid w:val="005B6668"/>
    <w:rsid w:val="005B7377"/>
    <w:rsid w:val="005B79F7"/>
    <w:rsid w:val="005B7B2C"/>
    <w:rsid w:val="005B7C86"/>
    <w:rsid w:val="005C0237"/>
    <w:rsid w:val="005C0FD8"/>
    <w:rsid w:val="005C19F5"/>
    <w:rsid w:val="005C2022"/>
    <w:rsid w:val="005C3BD2"/>
    <w:rsid w:val="005C4DDD"/>
    <w:rsid w:val="005C4F6E"/>
    <w:rsid w:val="005C62C8"/>
    <w:rsid w:val="005C70CE"/>
    <w:rsid w:val="005D01F5"/>
    <w:rsid w:val="005D09DF"/>
    <w:rsid w:val="005D0B64"/>
    <w:rsid w:val="005D1207"/>
    <w:rsid w:val="005D12D0"/>
    <w:rsid w:val="005D1BBA"/>
    <w:rsid w:val="005D2C2D"/>
    <w:rsid w:val="005D3499"/>
    <w:rsid w:val="005D4E2F"/>
    <w:rsid w:val="005D4FB9"/>
    <w:rsid w:val="005D6AC1"/>
    <w:rsid w:val="005D70AE"/>
    <w:rsid w:val="005E2A54"/>
    <w:rsid w:val="005E3034"/>
    <w:rsid w:val="005E37FF"/>
    <w:rsid w:val="005E4B9F"/>
    <w:rsid w:val="005E4CCF"/>
    <w:rsid w:val="005E6156"/>
    <w:rsid w:val="005E65FB"/>
    <w:rsid w:val="005E6CFF"/>
    <w:rsid w:val="005E792A"/>
    <w:rsid w:val="005F1EC6"/>
    <w:rsid w:val="005F34B7"/>
    <w:rsid w:val="005F3D87"/>
    <w:rsid w:val="005F414F"/>
    <w:rsid w:val="005F52B9"/>
    <w:rsid w:val="005F6C54"/>
    <w:rsid w:val="005F7FD0"/>
    <w:rsid w:val="0060035B"/>
    <w:rsid w:val="00600B5C"/>
    <w:rsid w:val="00602727"/>
    <w:rsid w:val="00603A72"/>
    <w:rsid w:val="00603BA7"/>
    <w:rsid w:val="006049EA"/>
    <w:rsid w:val="00605E1E"/>
    <w:rsid w:val="00606606"/>
    <w:rsid w:val="00612601"/>
    <w:rsid w:val="00612EDC"/>
    <w:rsid w:val="006148F4"/>
    <w:rsid w:val="00616E6F"/>
    <w:rsid w:val="00616FAE"/>
    <w:rsid w:val="00617173"/>
    <w:rsid w:val="006179E4"/>
    <w:rsid w:val="00617DB3"/>
    <w:rsid w:val="00617E00"/>
    <w:rsid w:val="00617E5D"/>
    <w:rsid w:val="00621975"/>
    <w:rsid w:val="00622ABB"/>
    <w:rsid w:val="00622C2C"/>
    <w:rsid w:val="0062563C"/>
    <w:rsid w:val="0062586C"/>
    <w:rsid w:val="00634521"/>
    <w:rsid w:val="006359E8"/>
    <w:rsid w:val="00635BB3"/>
    <w:rsid w:val="006363D8"/>
    <w:rsid w:val="006400FD"/>
    <w:rsid w:val="00642B35"/>
    <w:rsid w:val="006430B5"/>
    <w:rsid w:val="00650159"/>
    <w:rsid w:val="00650399"/>
    <w:rsid w:val="00650468"/>
    <w:rsid w:val="0065150B"/>
    <w:rsid w:val="00651B01"/>
    <w:rsid w:val="006530C0"/>
    <w:rsid w:val="00653450"/>
    <w:rsid w:val="00653A4F"/>
    <w:rsid w:val="00655481"/>
    <w:rsid w:val="00656574"/>
    <w:rsid w:val="0065735A"/>
    <w:rsid w:val="0066091F"/>
    <w:rsid w:val="00660FDB"/>
    <w:rsid w:val="00661EA4"/>
    <w:rsid w:val="00663337"/>
    <w:rsid w:val="00663399"/>
    <w:rsid w:val="00663E7E"/>
    <w:rsid w:val="006660EA"/>
    <w:rsid w:val="00667E73"/>
    <w:rsid w:val="00670DB6"/>
    <w:rsid w:val="00672CF2"/>
    <w:rsid w:val="00672D43"/>
    <w:rsid w:val="00673585"/>
    <w:rsid w:val="006737BD"/>
    <w:rsid w:val="00673A48"/>
    <w:rsid w:val="00674443"/>
    <w:rsid w:val="00676595"/>
    <w:rsid w:val="006766F0"/>
    <w:rsid w:val="006777A9"/>
    <w:rsid w:val="00677919"/>
    <w:rsid w:val="0068021D"/>
    <w:rsid w:val="00680C52"/>
    <w:rsid w:val="0068142D"/>
    <w:rsid w:val="00681F33"/>
    <w:rsid w:val="00682C72"/>
    <w:rsid w:val="0068503C"/>
    <w:rsid w:val="00685138"/>
    <w:rsid w:val="00687338"/>
    <w:rsid w:val="00690238"/>
    <w:rsid w:val="00690BCB"/>
    <w:rsid w:val="00691065"/>
    <w:rsid w:val="00693E35"/>
    <w:rsid w:val="00694688"/>
    <w:rsid w:val="00694939"/>
    <w:rsid w:val="00694DEA"/>
    <w:rsid w:val="00695241"/>
    <w:rsid w:val="00695A36"/>
    <w:rsid w:val="00696851"/>
    <w:rsid w:val="006A0677"/>
    <w:rsid w:val="006A391C"/>
    <w:rsid w:val="006A6104"/>
    <w:rsid w:val="006A6873"/>
    <w:rsid w:val="006B02ED"/>
    <w:rsid w:val="006B0328"/>
    <w:rsid w:val="006B186A"/>
    <w:rsid w:val="006B21A3"/>
    <w:rsid w:val="006B2D75"/>
    <w:rsid w:val="006B2E5B"/>
    <w:rsid w:val="006B30F0"/>
    <w:rsid w:val="006B3224"/>
    <w:rsid w:val="006B504D"/>
    <w:rsid w:val="006B5481"/>
    <w:rsid w:val="006B74D1"/>
    <w:rsid w:val="006B770F"/>
    <w:rsid w:val="006C0739"/>
    <w:rsid w:val="006C0B7D"/>
    <w:rsid w:val="006C0BF8"/>
    <w:rsid w:val="006C0C2A"/>
    <w:rsid w:val="006C3474"/>
    <w:rsid w:val="006C3999"/>
    <w:rsid w:val="006C3CD1"/>
    <w:rsid w:val="006C559F"/>
    <w:rsid w:val="006C7A0A"/>
    <w:rsid w:val="006D0C96"/>
    <w:rsid w:val="006D2366"/>
    <w:rsid w:val="006D2A8D"/>
    <w:rsid w:val="006D2EFC"/>
    <w:rsid w:val="006D30CA"/>
    <w:rsid w:val="006D3F18"/>
    <w:rsid w:val="006D42F9"/>
    <w:rsid w:val="006D547F"/>
    <w:rsid w:val="006D5B31"/>
    <w:rsid w:val="006D6811"/>
    <w:rsid w:val="006D7BDD"/>
    <w:rsid w:val="006E1ACE"/>
    <w:rsid w:val="006E23F0"/>
    <w:rsid w:val="006E4776"/>
    <w:rsid w:val="006E6512"/>
    <w:rsid w:val="006E6DA0"/>
    <w:rsid w:val="006E777D"/>
    <w:rsid w:val="006E78F6"/>
    <w:rsid w:val="006E7BE2"/>
    <w:rsid w:val="006E7DFA"/>
    <w:rsid w:val="006F09AC"/>
    <w:rsid w:val="006F1B40"/>
    <w:rsid w:val="006F210D"/>
    <w:rsid w:val="006F28B8"/>
    <w:rsid w:val="006F373B"/>
    <w:rsid w:val="006F38A2"/>
    <w:rsid w:val="006F38B7"/>
    <w:rsid w:val="006F3CB3"/>
    <w:rsid w:val="006F3E27"/>
    <w:rsid w:val="006F47FC"/>
    <w:rsid w:val="006F73B6"/>
    <w:rsid w:val="007012D2"/>
    <w:rsid w:val="00701CED"/>
    <w:rsid w:val="00701EDE"/>
    <w:rsid w:val="00703546"/>
    <w:rsid w:val="00703C13"/>
    <w:rsid w:val="00704555"/>
    <w:rsid w:val="007051A9"/>
    <w:rsid w:val="00705B89"/>
    <w:rsid w:val="00706248"/>
    <w:rsid w:val="007065D5"/>
    <w:rsid w:val="00706B80"/>
    <w:rsid w:val="00707C18"/>
    <w:rsid w:val="0071007C"/>
    <w:rsid w:val="00710624"/>
    <w:rsid w:val="00710AFD"/>
    <w:rsid w:val="00710F6B"/>
    <w:rsid w:val="007130E2"/>
    <w:rsid w:val="007148CA"/>
    <w:rsid w:val="007161DA"/>
    <w:rsid w:val="00716349"/>
    <w:rsid w:val="007172BC"/>
    <w:rsid w:val="00720561"/>
    <w:rsid w:val="00720917"/>
    <w:rsid w:val="00721B0C"/>
    <w:rsid w:val="00721B0E"/>
    <w:rsid w:val="00721C74"/>
    <w:rsid w:val="00723915"/>
    <w:rsid w:val="00726459"/>
    <w:rsid w:val="00727887"/>
    <w:rsid w:val="007278EE"/>
    <w:rsid w:val="00727FCB"/>
    <w:rsid w:val="007300BD"/>
    <w:rsid w:val="007303F7"/>
    <w:rsid w:val="00730E8C"/>
    <w:rsid w:val="00731372"/>
    <w:rsid w:val="00732DD8"/>
    <w:rsid w:val="00733786"/>
    <w:rsid w:val="00734D19"/>
    <w:rsid w:val="00737494"/>
    <w:rsid w:val="00737587"/>
    <w:rsid w:val="00742F17"/>
    <w:rsid w:val="007430D8"/>
    <w:rsid w:val="00743BBC"/>
    <w:rsid w:val="007442EF"/>
    <w:rsid w:val="00744570"/>
    <w:rsid w:val="0075019B"/>
    <w:rsid w:val="00750919"/>
    <w:rsid w:val="00753190"/>
    <w:rsid w:val="00753284"/>
    <w:rsid w:val="0075338C"/>
    <w:rsid w:val="00753902"/>
    <w:rsid w:val="00753D49"/>
    <w:rsid w:val="0075414A"/>
    <w:rsid w:val="007547F2"/>
    <w:rsid w:val="007560AE"/>
    <w:rsid w:val="00756A6C"/>
    <w:rsid w:val="00756EC3"/>
    <w:rsid w:val="00757DF7"/>
    <w:rsid w:val="00760152"/>
    <w:rsid w:val="007609CD"/>
    <w:rsid w:val="00760C71"/>
    <w:rsid w:val="00761265"/>
    <w:rsid w:val="007615A3"/>
    <w:rsid w:val="00761706"/>
    <w:rsid w:val="007635A4"/>
    <w:rsid w:val="00763A8F"/>
    <w:rsid w:val="00765576"/>
    <w:rsid w:val="00765756"/>
    <w:rsid w:val="0076710E"/>
    <w:rsid w:val="007713E5"/>
    <w:rsid w:val="007718A2"/>
    <w:rsid w:val="00771B58"/>
    <w:rsid w:val="00772402"/>
    <w:rsid w:val="00772A74"/>
    <w:rsid w:val="00773987"/>
    <w:rsid w:val="00773B3E"/>
    <w:rsid w:val="00775035"/>
    <w:rsid w:val="0077578C"/>
    <w:rsid w:val="007768F7"/>
    <w:rsid w:val="00776AF4"/>
    <w:rsid w:val="00776EDE"/>
    <w:rsid w:val="00777453"/>
    <w:rsid w:val="007774B3"/>
    <w:rsid w:val="007823E5"/>
    <w:rsid w:val="00782E8B"/>
    <w:rsid w:val="007836CA"/>
    <w:rsid w:val="00783A36"/>
    <w:rsid w:val="00784ADA"/>
    <w:rsid w:val="00784DBB"/>
    <w:rsid w:val="00787815"/>
    <w:rsid w:val="0078797F"/>
    <w:rsid w:val="00787CF1"/>
    <w:rsid w:val="00787FB6"/>
    <w:rsid w:val="007902B7"/>
    <w:rsid w:val="00790541"/>
    <w:rsid w:val="00790BDE"/>
    <w:rsid w:val="00790DC9"/>
    <w:rsid w:val="00795052"/>
    <w:rsid w:val="00795B4D"/>
    <w:rsid w:val="007969FE"/>
    <w:rsid w:val="00796DCF"/>
    <w:rsid w:val="007979E6"/>
    <w:rsid w:val="007A05E5"/>
    <w:rsid w:val="007A06ED"/>
    <w:rsid w:val="007A0AD5"/>
    <w:rsid w:val="007A1412"/>
    <w:rsid w:val="007B1D89"/>
    <w:rsid w:val="007B24A3"/>
    <w:rsid w:val="007B2CFC"/>
    <w:rsid w:val="007B315D"/>
    <w:rsid w:val="007B3B3B"/>
    <w:rsid w:val="007B3C4E"/>
    <w:rsid w:val="007B4492"/>
    <w:rsid w:val="007B76D1"/>
    <w:rsid w:val="007C1792"/>
    <w:rsid w:val="007C2617"/>
    <w:rsid w:val="007C26B8"/>
    <w:rsid w:val="007C461B"/>
    <w:rsid w:val="007C7DE6"/>
    <w:rsid w:val="007D07C2"/>
    <w:rsid w:val="007D07CB"/>
    <w:rsid w:val="007D1272"/>
    <w:rsid w:val="007D19C1"/>
    <w:rsid w:val="007D1ACE"/>
    <w:rsid w:val="007D2717"/>
    <w:rsid w:val="007D3FEB"/>
    <w:rsid w:val="007D4EAB"/>
    <w:rsid w:val="007D57CE"/>
    <w:rsid w:val="007D5C55"/>
    <w:rsid w:val="007D6DA9"/>
    <w:rsid w:val="007D6DEA"/>
    <w:rsid w:val="007D7124"/>
    <w:rsid w:val="007D740D"/>
    <w:rsid w:val="007D7E21"/>
    <w:rsid w:val="007E1BB5"/>
    <w:rsid w:val="007E294B"/>
    <w:rsid w:val="007E2AB8"/>
    <w:rsid w:val="007E3684"/>
    <w:rsid w:val="007E3F4B"/>
    <w:rsid w:val="007E4AB6"/>
    <w:rsid w:val="007E6542"/>
    <w:rsid w:val="007E78BB"/>
    <w:rsid w:val="007F02A0"/>
    <w:rsid w:val="007F03F9"/>
    <w:rsid w:val="007F1115"/>
    <w:rsid w:val="007F1478"/>
    <w:rsid w:val="007F2AE1"/>
    <w:rsid w:val="007F43D9"/>
    <w:rsid w:val="007F4A66"/>
    <w:rsid w:val="008002C2"/>
    <w:rsid w:val="008016AA"/>
    <w:rsid w:val="008019A2"/>
    <w:rsid w:val="0080354E"/>
    <w:rsid w:val="00804042"/>
    <w:rsid w:val="008045AA"/>
    <w:rsid w:val="008068BB"/>
    <w:rsid w:val="00807680"/>
    <w:rsid w:val="008109A7"/>
    <w:rsid w:val="00810F7F"/>
    <w:rsid w:val="00811381"/>
    <w:rsid w:val="00813554"/>
    <w:rsid w:val="0081680E"/>
    <w:rsid w:val="00817093"/>
    <w:rsid w:val="00824D39"/>
    <w:rsid w:val="008268D5"/>
    <w:rsid w:val="0083014E"/>
    <w:rsid w:val="00830F76"/>
    <w:rsid w:val="00831086"/>
    <w:rsid w:val="0083252D"/>
    <w:rsid w:val="00832F02"/>
    <w:rsid w:val="00832F23"/>
    <w:rsid w:val="0083337C"/>
    <w:rsid w:val="00833914"/>
    <w:rsid w:val="00833C12"/>
    <w:rsid w:val="008344A6"/>
    <w:rsid w:val="0083758B"/>
    <w:rsid w:val="008438A9"/>
    <w:rsid w:val="00844283"/>
    <w:rsid w:val="00844422"/>
    <w:rsid w:val="008445ED"/>
    <w:rsid w:val="00845546"/>
    <w:rsid w:val="008455D1"/>
    <w:rsid w:val="008461C2"/>
    <w:rsid w:val="00847D60"/>
    <w:rsid w:val="008510BD"/>
    <w:rsid w:val="00851855"/>
    <w:rsid w:val="00854857"/>
    <w:rsid w:val="00855EC3"/>
    <w:rsid w:val="00856466"/>
    <w:rsid w:val="00857327"/>
    <w:rsid w:val="008573B9"/>
    <w:rsid w:val="008575BD"/>
    <w:rsid w:val="00857E3E"/>
    <w:rsid w:val="00863438"/>
    <w:rsid w:val="00863452"/>
    <w:rsid w:val="008638F9"/>
    <w:rsid w:val="008639A8"/>
    <w:rsid w:val="00863C6B"/>
    <w:rsid w:val="00864638"/>
    <w:rsid w:val="008651C0"/>
    <w:rsid w:val="008653D8"/>
    <w:rsid w:val="0086690E"/>
    <w:rsid w:val="00870295"/>
    <w:rsid w:val="00873DF2"/>
    <w:rsid w:val="00875373"/>
    <w:rsid w:val="00875CD1"/>
    <w:rsid w:val="008769BF"/>
    <w:rsid w:val="00880E7A"/>
    <w:rsid w:val="00881923"/>
    <w:rsid w:val="00886FBA"/>
    <w:rsid w:val="00890C85"/>
    <w:rsid w:val="00890DB7"/>
    <w:rsid w:val="00890EED"/>
    <w:rsid w:val="00893463"/>
    <w:rsid w:val="00894577"/>
    <w:rsid w:val="008964F9"/>
    <w:rsid w:val="00896F11"/>
    <w:rsid w:val="008A049A"/>
    <w:rsid w:val="008A1D90"/>
    <w:rsid w:val="008A218E"/>
    <w:rsid w:val="008A271A"/>
    <w:rsid w:val="008A399F"/>
    <w:rsid w:val="008A3DC3"/>
    <w:rsid w:val="008A6846"/>
    <w:rsid w:val="008A6BF1"/>
    <w:rsid w:val="008A760E"/>
    <w:rsid w:val="008A7CF4"/>
    <w:rsid w:val="008A7E8F"/>
    <w:rsid w:val="008B0790"/>
    <w:rsid w:val="008B0BE2"/>
    <w:rsid w:val="008B3F8B"/>
    <w:rsid w:val="008B4804"/>
    <w:rsid w:val="008B5C94"/>
    <w:rsid w:val="008B7922"/>
    <w:rsid w:val="008C0775"/>
    <w:rsid w:val="008C0B6E"/>
    <w:rsid w:val="008C1F5A"/>
    <w:rsid w:val="008C2218"/>
    <w:rsid w:val="008C2D8B"/>
    <w:rsid w:val="008C354A"/>
    <w:rsid w:val="008C3E23"/>
    <w:rsid w:val="008C564C"/>
    <w:rsid w:val="008C69DE"/>
    <w:rsid w:val="008C79EE"/>
    <w:rsid w:val="008D1A6D"/>
    <w:rsid w:val="008D1CCF"/>
    <w:rsid w:val="008D1E15"/>
    <w:rsid w:val="008D2B1F"/>
    <w:rsid w:val="008D53AE"/>
    <w:rsid w:val="008D6F74"/>
    <w:rsid w:val="008D745F"/>
    <w:rsid w:val="008D7F22"/>
    <w:rsid w:val="008E0553"/>
    <w:rsid w:val="008E0CD8"/>
    <w:rsid w:val="008E1D74"/>
    <w:rsid w:val="008E220C"/>
    <w:rsid w:val="008E3E17"/>
    <w:rsid w:val="008E4823"/>
    <w:rsid w:val="008E6364"/>
    <w:rsid w:val="008F09E5"/>
    <w:rsid w:val="008F1B1C"/>
    <w:rsid w:val="008F34A1"/>
    <w:rsid w:val="008F3637"/>
    <w:rsid w:val="008F4968"/>
    <w:rsid w:val="008F4D46"/>
    <w:rsid w:val="008F6A12"/>
    <w:rsid w:val="008F735C"/>
    <w:rsid w:val="008F7BC1"/>
    <w:rsid w:val="00903D38"/>
    <w:rsid w:val="009042E3"/>
    <w:rsid w:val="009058F3"/>
    <w:rsid w:val="00905B17"/>
    <w:rsid w:val="0090639A"/>
    <w:rsid w:val="009075EE"/>
    <w:rsid w:val="00907E77"/>
    <w:rsid w:val="00910468"/>
    <w:rsid w:val="00911F4F"/>
    <w:rsid w:val="009120DF"/>
    <w:rsid w:val="009128C7"/>
    <w:rsid w:val="00912951"/>
    <w:rsid w:val="0091313E"/>
    <w:rsid w:val="00913330"/>
    <w:rsid w:val="009136F7"/>
    <w:rsid w:val="009149D8"/>
    <w:rsid w:val="00914D91"/>
    <w:rsid w:val="00915A66"/>
    <w:rsid w:val="00915BB0"/>
    <w:rsid w:val="00916823"/>
    <w:rsid w:val="0091707D"/>
    <w:rsid w:val="00917469"/>
    <w:rsid w:val="00917CAD"/>
    <w:rsid w:val="009207CC"/>
    <w:rsid w:val="00920AAA"/>
    <w:rsid w:val="0092128C"/>
    <w:rsid w:val="00921878"/>
    <w:rsid w:val="00921BE8"/>
    <w:rsid w:val="00924654"/>
    <w:rsid w:val="00924A68"/>
    <w:rsid w:val="009259C9"/>
    <w:rsid w:val="00925CB4"/>
    <w:rsid w:val="009279B2"/>
    <w:rsid w:val="00927B88"/>
    <w:rsid w:val="00927E52"/>
    <w:rsid w:val="009309B7"/>
    <w:rsid w:val="00931250"/>
    <w:rsid w:val="00931515"/>
    <w:rsid w:val="00932AB5"/>
    <w:rsid w:val="00932EFC"/>
    <w:rsid w:val="00935C86"/>
    <w:rsid w:val="00936347"/>
    <w:rsid w:val="009369E0"/>
    <w:rsid w:val="00937BF9"/>
    <w:rsid w:val="00937C24"/>
    <w:rsid w:val="009402BC"/>
    <w:rsid w:val="009406B7"/>
    <w:rsid w:val="00940DF3"/>
    <w:rsid w:val="00941A67"/>
    <w:rsid w:val="009434A2"/>
    <w:rsid w:val="00943C6D"/>
    <w:rsid w:val="00944AB2"/>
    <w:rsid w:val="00944B49"/>
    <w:rsid w:val="00945215"/>
    <w:rsid w:val="009456C7"/>
    <w:rsid w:val="009461D2"/>
    <w:rsid w:val="009502BF"/>
    <w:rsid w:val="009507B5"/>
    <w:rsid w:val="0095112F"/>
    <w:rsid w:val="00951B7C"/>
    <w:rsid w:val="009544A0"/>
    <w:rsid w:val="009546D2"/>
    <w:rsid w:val="009554BA"/>
    <w:rsid w:val="009558A4"/>
    <w:rsid w:val="009558CD"/>
    <w:rsid w:val="0096080C"/>
    <w:rsid w:val="009613A3"/>
    <w:rsid w:val="0096155F"/>
    <w:rsid w:val="0096324C"/>
    <w:rsid w:val="0096378D"/>
    <w:rsid w:val="00963F54"/>
    <w:rsid w:val="00965C83"/>
    <w:rsid w:val="009668E1"/>
    <w:rsid w:val="00967CB9"/>
    <w:rsid w:val="00967F6D"/>
    <w:rsid w:val="009723C4"/>
    <w:rsid w:val="00972B4D"/>
    <w:rsid w:val="0097308F"/>
    <w:rsid w:val="0097385B"/>
    <w:rsid w:val="00973E97"/>
    <w:rsid w:val="00974B87"/>
    <w:rsid w:val="00974C5D"/>
    <w:rsid w:val="009801D2"/>
    <w:rsid w:val="00980693"/>
    <w:rsid w:val="00980B11"/>
    <w:rsid w:val="0098196D"/>
    <w:rsid w:val="00982F42"/>
    <w:rsid w:val="00983F27"/>
    <w:rsid w:val="00984285"/>
    <w:rsid w:val="009848E2"/>
    <w:rsid w:val="00985143"/>
    <w:rsid w:val="00985CCE"/>
    <w:rsid w:val="00985DA4"/>
    <w:rsid w:val="00990C8A"/>
    <w:rsid w:val="00990DC0"/>
    <w:rsid w:val="00991416"/>
    <w:rsid w:val="00991541"/>
    <w:rsid w:val="00991E30"/>
    <w:rsid w:val="00993748"/>
    <w:rsid w:val="009945F5"/>
    <w:rsid w:val="00994EA7"/>
    <w:rsid w:val="00995D49"/>
    <w:rsid w:val="0099710D"/>
    <w:rsid w:val="009A1097"/>
    <w:rsid w:val="009A18C4"/>
    <w:rsid w:val="009A1B89"/>
    <w:rsid w:val="009A24B4"/>
    <w:rsid w:val="009A32D6"/>
    <w:rsid w:val="009A47B0"/>
    <w:rsid w:val="009A7453"/>
    <w:rsid w:val="009B02CC"/>
    <w:rsid w:val="009B0636"/>
    <w:rsid w:val="009B1478"/>
    <w:rsid w:val="009B1868"/>
    <w:rsid w:val="009B3825"/>
    <w:rsid w:val="009B445F"/>
    <w:rsid w:val="009B59B5"/>
    <w:rsid w:val="009B5DD6"/>
    <w:rsid w:val="009B622F"/>
    <w:rsid w:val="009B7B18"/>
    <w:rsid w:val="009C042E"/>
    <w:rsid w:val="009C1ED1"/>
    <w:rsid w:val="009C2CDF"/>
    <w:rsid w:val="009C2F23"/>
    <w:rsid w:val="009C31E3"/>
    <w:rsid w:val="009C36A0"/>
    <w:rsid w:val="009C521E"/>
    <w:rsid w:val="009C5FB5"/>
    <w:rsid w:val="009C62F9"/>
    <w:rsid w:val="009C6C31"/>
    <w:rsid w:val="009C75FA"/>
    <w:rsid w:val="009C7AB9"/>
    <w:rsid w:val="009D3B97"/>
    <w:rsid w:val="009D51DA"/>
    <w:rsid w:val="009D69CB"/>
    <w:rsid w:val="009D7321"/>
    <w:rsid w:val="009E04A3"/>
    <w:rsid w:val="009E15E9"/>
    <w:rsid w:val="009E23FE"/>
    <w:rsid w:val="009E38EA"/>
    <w:rsid w:val="009E3D5E"/>
    <w:rsid w:val="009E4039"/>
    <w:rsid w:val="009E6358"/>
    <w:rsid w:val="009E6AC2"/>
    <w:rsid w:val="009E7AF1"/>
    <w:rsid w:val="009F0B58"/>
    <w:rsid w:val="009F30FC"/>
    <w:rsid w:val="009F3923"/>
    <w:rsid w:val="009F3B23"/>
    <w:rsid w:val="009F48FA"/>
    <w:rsid w:val="009F4CBC"/>
    <w:rsid w:val="009F4D79"/>
    <w:rsid w:val="009F5C00"/>
    <w:rsid w:val="009F624F"/>
    <w:rsid w:val="009F6387"/>
    <w:rsid w:val="009F6ADD"/>
    <w:rsid w:val="009F7A9A"/>
    <w:rsid w:val="00A0044F"/>
    <w:rsid w:val="00A005B2"/>
    <w:rsid w:val="00A010D4"/>
    <w:rsid w:val="00A01949"/>
    <w:rsid w:val="00A05147"/>
    <w:rsid w:val="00A05655"/>
    <w:rsid w:val="00A059C7"/>
    <w:rsid w:val="00A069E0"/>
    <w:rsid w:val="00A0711E"/>
    <w:rsid w:val="00A101E5"/>
    <w:rsid w:val="00A1044F"/>
    <w:rsid w:val="00A10739"/>
    <w:rsid w:val="00A109DF"/>
    <w:rsid w:val="00A10FC3"/>
    <w:rsid w:val="00A11671"/>
    <w:rsid w:val="00A11A0A"/>
    <w:rsid w:val="00A1362D"/>
    <w:rsid w:val="00A13E35"/>
    <w:rsid w:val="00A14E4F"/>
    <w:rsid w:val="00A151B9"/>
    <w:rsid w:val="00A1556E"/>
    <w:rsid w:val="00A15607"/>
    <w:rsid w:val="00A15AA5"/>
    <w:rsid w:val="00A15F8F"/>
    <w:rsid w:val="00A1673E"/>
    <w:rsid w:val="00A202BF"/>
    <w:rsid w:val="00A206E9"/>
    <w:rsid w:val="00A21700"/>
    <w:rsid w:val="00A22995"/>
    <w:rsid w:val="00A24249"/>
    <w:rsid w:val="00A2500D"/>
    <w:rsid w:val="00A26367"/>
    <w:rsid w:val="00A2649B"/>
    <w:rsid w:val="00A267DD"/>
    <w:rsid w:val="00A26C39"/>
    <w:rsid w:val="00A271DB"/>
    <w:rsid w:val="00A27A66"/>
    <w:rsid w:val="00A300F2"/>
    <w:rsid w:val="00A303C7"/>
    <w:rsid w:val="00A30832"/>
    <w:rsid w:val="00A314C9"/>
    <w:rsid w:val="00A31867"/>
    <w:rsid w:val="00A31A85"/>
    <w:rsid w:val="00A31C33"/>
    <w:rsid w:val="00A326FE"/>
    <w:rsid w:val="00A352D8"/>
    <w:rsid w:val="00A36068"/>
    <w:rsid w:val="00A3629F"/>
    <w:rsid w:val="00A36589"/>
    <w:rsid w:val="00A366A0"/>
    <w:rsid w:val="00A37BC7"/>
    <w:rsid w:val="00A37FF8"/>
    <w:rsid w:val="00A41820"/>
    <w:rsid w:val="00A4255D"/>
    <w:rsid w:val="00A42646"/>
    <w:rsid w:val="00A43158"/>
    <w:rsid w:val="00A440F5"/>
    <w:rsid w:val="00A44420"/>
    <w:rsid w:val="00A45DE2"/>
    <w:rsid w:val="00A46E58"/>
    <w:rsid w:val="00A4779A"/>
    <w:rsid w:val="00A479B8"/>
    <w:rsid w:val="00A47ACD"/>
    <w:rsid w:val="00A47C30"/>
    <w:rsid w:val="00A50BFC"/>
    <w:rsid w:val="00A51112"/>
    <w:rsid w:val="00A515A0"/>
    <w:rsid w:val="00A51A78"/>
    <w:rsid w:val="00A53EF5"/>
    <w:rsid w:val="00A53FEA"/>
    <w:rsid w:val="00A549DD"/>
    <w:rsid w:val="00A55F0A"/>
    <w:rsid w:val="00A57214"/>
    <w:rsid w:val="00A572E0"/>
    <w:rsid w:val="00A575DC"/>
    <w:rsid w:val="00A605A8"/>
    <w:rsid w:val="00A61AD5"/>
    <w:rsid w:val="00A62657"/>
    <w:rsid w:val="00A65547"/>
    <w:rsid w:val="00A6611D"/>
    <w:rsid w:val="00A671E8"/>
    <w:rsid w:val="00A6767F"/>
    <w:rsid w:val="00A70F99"/>
    <w:rsid w:val="00A721BD"/>
    <w:rsid w:val="00A72CE6"/>
    <w:rsid w:val="00A72EA7"/>
    <w:rsid w:val="00A733ED"/>
    <w:rsid w:val="00A73A5C"/>
    <w:rsid w:val="00A74BAA"/>
    <w:rsid w:val="00A74D94"/>
    <w:rsid w:val="00A75273"/>
    <w:rsid w:val="00A76B66"/>
    <w:rsid w:val="00A77144"/>
    <w:rsid w:val="00A77655"/>
    <w:rsid w:val="00A82042"/>
    <w:rsid w:val="00A823E6"/>
    <w:rsid w:val="00A82794"/>
    <w:rsid w:val="00A839C2"/>
    <w:rsid w:val="00A844A3"/>
    <w:rsid w:val="00A84A87"/>
    <w:rsid w:val="00A85349"/>
    <w:rsid w:val="00A87ACE"/>
    <w:rsid w:val="00A87E40"/>
    <w:rsid w:val="00A90289"/>
    <w:rsid w:val="00A90483"/>
    <w:rsid w:val="00A91EFE"/>
    <w:rsid w:val="00A924E4"/>
    <w:rsid w:val="00A92AC8"/>
    <w:rsid w:val="00A93403"/>
    <w:rsid w:val="00A93D8D"/>
    <w:rsid w:val="00A947BA"/>
    <w:rsid w:val="00A959E3"/>
    <w:rsid w:val="00A968FC"/>
    <w:rsid w:val="00A9730B"/>
    <w:rsid w:val="00AA1A60"/>
    <w:rsid w:val="00AA2D8C"/>
    <w:rsid w:val="00AA35ED"/>
    <w:rsid w:val="00AA3D29"/>
    <w:rsid w:val="00AA40C3"/>
    <w:rsid w:val="00AA40E0"/>
    <w:rsid w:val="00AA420D"/>
    <w:rsid w:val="00AA4B67"/>
    <w:rsid w:val="00AA5818"/>
    <w:rsid w:val="00AA61AA"/>
    <w:rsid w:val="00AA6210"/>
    <w:rsid w:val="00AA63F8"/>
    <w:rsid w:val="00AA6CCA"/>
    <w:rsid w:val="00AA6EB4"/>
    <w:rsid w:val="00AB0274"/>
    <w:rsid w:val="00AB05BC"/>
    <w:rsid w:val="00AB0BDE"/>
    <w:rsid w:val="00AB1179"/>
    <w:rsid w:val="00AB1A9F"/>
    <w:rsid w:val="00AB1B70"/>
    <w:rsid w:val="00AB1BBA"/>
    <w:rsid w:val="00AB2A4A"/>
    <w:rsid w:val="00AB2BE2"/>
    <w:rsid w:val="00AB2D8E"/>
    <w:rsid w:val="00AB307B"/>
    <w:rsid w:val="00AB46BE"/>
    <w:rsid w:val="00AB7486"/>
    <w:rsid w:val="00AB7DAA"/>
    <w:rsid w:val="00AC0ED7"/>
    <w:rsid w:val="00AC10C3"/>
    <w:rsid w:val="00AC436F"/>
    <w:rsid w:val="00AC4427"/>
    <w:rsid w:val="00AC6DBC"/>
    <w:rsid w:val="00AC7371"/>
    <w:rsid w:val="00AD0067"/>
    <w:rsid w:val="00AD02D3"/>
    <w:rsid w:val="00AD06DD"/>
    <w:rsid w:val="00AD0F88"/>
    <w:rsid w:val="00AD419C"/>
    <w:rsid w:val="00AD41F1"/>
    <w:rsid w:val="00AD5B53"/>
    <w:rsid w:val="00AD5F37"/>
    <w:rsid w:val="00AD6AAF"/>
    <w:rsid w:val="00AD7472"/>
    <w:rsid w:val="00AE059C"/>
    <w:rsid w:val="00AE06C8"/>
    <w:rsid w:val="00AE12EC"/>
    <w:rsid w:val="00AE55B4"/>
    <w:rsid w:val="00AE5979"/>
    <w:rsid w:val="00AE5C1D"/>
    <w:rsid w:val="00AE6093"/>
    <w:rsid w:val="00AE75C3"/>
    <w:rsid w:val="00AF1165"/>
    <w:rsid w:val="00AF21AF"/>
    <w:rsid w:val="00AF29DD"/>
    <w:rsid w:val="00AF358C"/>
    <w:rsid w:val="00AF488B"/>
    <w:rsid w:val="00AF569D"/>
    <w:rsid w:val="00AF5856"/>
    <w:rsid w:val="00B00960"/>
    <w:rsid w:val="00B02FD9"/>
    <w:rsid w:val="00B0372D"/>
    <w:rsid w:val="00B03C62"/>
    <w:rsid w:val="00B046E4"/>
    <w:rsid w:val="00B0698F"/>
    <w:rsid w:val="00B076F3"/>
    <w:rsid w:val="00B1005A"/>
    <w:rsid w:val="00B10A97"/>
    <w:rsid w:val="00B123C5"/>
    <w:rsid w:val="00B12679"/>
    <w:rsid w:val="00B1368D"/>
    <w:rsid w:val="00B13829"/>
    <w:rsid w:val="00B1459E"/>
    <w:rsid w:val="00B14BD7"/>
    <w:rsid w:val="00B15268"/>
    <w:rsid w:val="00B15552"/>
    <w:rsid w:val="00B17952"/>
    <w:rsid w:val="00B17F4A"/>
    <w:rsid w:val="00B2175A"/>
    <w:rsid w:val="00B2282D"/>
    <w:rsid w:val="00B22AC9"/>
    <w:rsid w:val="00B2335E"/>
    <w:rsid w:val="00B23C9B"/>
    <w:rsid w:val="00B24067"/>
    <w:rsid w:val="00B24D6D"/>
    <w:rsid w:val="00B2501C"/>
    <w:rsid w:val="00B26DAA"/>
    <w:rsid w:val="00B26F49"/>
    <w:rsid w:val="00B26F92"/>
    <w:rsid w:val="00B273F5"/>
    <w:rsid w:val="00B3066B"/>
    <w:rsid w:val="00B306AF"/>
    <w:rsid w:val="00B306C3"/>
    <w:rsid w:val="00B30C93"/>
    <w:rsid w:val="00B30FF9"/>
    <w:rsid w:val="00B31AD6"/>
    <w:rsid w:val="00B31CBD"/>
    <w:rsid w:val="00B322A2"/>
    <w:rsid w:val="00B3479E"/>
    <w:rsid w:val="00B3484A"/>
    <w:rsid w:val="00B34885"/>
    <w:rsid w:val="00B37B6E"/>
    <w:rsid w:val="00B37CD1"/>
    <w:rsid w:val="00B408FB"/>
    <w:rsid w:val="00B44C64"/>
    <w:rsid w:val="00B45911"/>
    <w:rsid w:val="00B46AA7"/>
    <w:rsid w:val="00B46BA4"/>
    <w:rsid w:val="00B46DFA"/>
    <w:rsid w:val="00B4752D"/>
    <w:rsid w:val="00B47948"/>
    <w:rsid w:val="00B53D26"/>
    <w:rsid w:val="00B547A7"/>
    <w:rsid w:val="00B57696"/>
    <w:rsid w:val="00B5772C"/>
    <w:rsid w:val="00B57AF2"/>
    <w:rsid w:val="00B6065A"/>
    <w:rsid w:val="00B61312"/>
    <w:rsid w:val="00B62856"/>
    <w:rsid w:val="00B63F80"/>
    <w:rsid w:val="00B64763"/>
    <w:rsid w:val="00B65D22"/>
    <w:rsid w:val="00B664F2"/>
    <w:rsid w:val="00B6664E"/>
    <w:rsid w:val="00B66C65"/>
    <w:rsid w:val="00B676B5"/>
    <w:rsid w:val="00B70134"/>
    <w:rsid w:val="00B72971"/>
    <w:rsid w:val="00B7520C"/>
    <w:rsid w:val="00B7611D"/>
    <w:rsid w:val="00B77048"/>
    <w:rsid w:val="00B81180"/>
    <w:rsid w:val="00B81C8A"/>
    <w:rsid w:val="00B824B7"/>
    <w:rsid w:val="00B85013"/>
    <w:rsid w:val="00B858C5"/>
    <w:rsid w:val="00B85C82"/>
    <w:rsid w:val="00B86795"/>
    <w:rsid w:val="00B8749C"/>
    <w:rsid w:val="00B875E5"/>
    <w:rsid w:val="00B91356"/>
    <w:rsid w:val="00B9150F"/>
    <w:rsid w:val="00B9195B"/>
    <w:rsid w:val="00B93303"/>
    <w:rsid w:val="00B93A04"/>
    <w:rsid w:val="00B95169"/>
    <w:rsid w:val="00B95459"/>
    <w:rsid w:val="00B95A46"/>
    <w:rsid w:val="00B9622E"/>
    <w:rsid w:val="00B97B8C"/>
    <w:rsid w:val="00BA0C9E"/>
    <w:rsid w:val="00BA17AF"/>
    <w:rsid w:val="00BA2AD0"/>
    <w:rsid w:val="00BA3C3A"/>
    <w:rsid w:val="00BA45F5"/>
    <w:rsid w:val="00BA6056"/>
    <w:rsid w:val="00BA6BD8"/>
    <w:rsid w:val="00BA6DBB"/>
    <w:rsid w:val="00BB037A"/>
    <w:rsid w:val="00BB22FC"/>
    <w:rsid w:val="00BB3A0D"/>
    <w:rsid w:val="00BB3E33"/>
    <w:rsid w:val="00BB4A16"/>
    <w:rsid w:val="00BB5388"/>
    <w:rsid w:val="00BB5409"/>
    <w:rsid w:val="00BC370F"/>
    <w:rsid w:val="00BC4FD6"/>
    <w:rsid w:val="00BC6B38"/>
    <w:rsid w:val="00BC78F8"/>
    <w:rsid w:val="00BC7D26"/>
    <w:rsid w:val="00BD09CF"/>
    <w:rsid w:val="00BD0A22"/>
    <w:rsid w:val="00BD128D"/>
    <w:rsid w:val="00BD1C4C"/>
    <w:rsid w:val="00BD2694"/>
    <w:rsid w:val="00BD27B7"/>
    <w:rsid w:val="00BD2A5B"/>
    <w:rsid w:val="00BD2DFC"/>
    <w:rsid w:val="00BD2E6C"/>
    <w:rsid w:val="00BD3083"/>
    <w:rsid w:val="00BD3E6D"/>
    <w:rsid w:val="00BD4073"/>
    <w:rsid w:val="00BD57B2"/>
    <w:rsid w:val="00BD71AD"/>
    <w:rsid w:val="00BD7E21"/>
    <w:rsid w:val="00BE038B"/>
    <w:rsid w:val="00BE0A56"/>
    <w:rsid w:val="00BE5ED3"/>
    <w:rsid w:val="00BE608D"/>
    <w:rsid w:val="00BE6BF1"/>
    <w:rsid w:val="00BE6EF1"/>
    <w:rsid w:val="00BE73D5"/>
    <w:rsid w:val="00BE7721"/>
    <w:rsid w:val="00BF08D3"/>
    <w:rsid w:val="00BF16D9"/>
    <w:rsid w:val="00BF1E38"/>
    <w:rsid w:val="00BF1F49"/>
    <w:rsid w:val="00BF3D7C"/>
    <w:rsid w:val="00BF4429"/>
    <w:rsid w:val="00BF5817"/>
    <w:rsid w:val="00BF6B6B"/>
    <w:rsid w:val="00BF6C8B"/>
    <w:rsid w:val="00BF78B8"/>
    <w:rsid w:val="00C01339"/>
    <w:rsid w:val="00C01749"/>
    <w:rsid w:val="00C02983"/>
    <w:rsid w:val="00C04A0F"/>
    <w:rsid w:val="00C063CF"/>
    <w:rsid w:val="00C06B55"/>
    <w:rsid w:val="00C07255"/>
    <w:rsid w:val="00C07B6C"/>
    <w:rsid w:val="00C1161E"/>
    <w:rsid w:val="00C11B32"/>
    <w:rsid w:val="00C12176"/>
    <w:rsid w:val="00C1378C"/>
    <w:rsid w:val="00C13BFB"/>
    <w:rsid w:val="00C15BEC"/>
    <w:rsid w:val="00C161A3"/>
    <w:rsid w:val="00C16635"/>
    <w:rsid w:val="00C166F7"/>
    <w:rsid w:val="00C170A3"/>
    <w:rsid w:val="00C17BBC"/>
    <w:rsid w:val="00C17CFD"/>
    <w:rsid w:val="00C20141"/>
    <w:rsid w:val="00C20A1E"/>
    <w:rsid w:val="00C21228"/>
    <w:rsid w:val="00C22B35"/>
    <w:rsid w:val="00C22C53"/>
    <w:rsid w:val="00C23246"/>
    <w:rsid w:val="00C2408F"/>
    <w:rsid w:val="00C242DB"/>
    <w:rsid w:val="00C25753"/>
    <w:rsid w:val="00C2621D"/>
    <w:rsid w:val="00C2622E"/>
    <w:rsid w:val="00C26F3D"/>
    <w:rsid w:val="00C27159"/>
    <w:rsid w:val="00C300E6"/>
    <w:rsid w:val="00C30B5A"/>
    <w:rsid w:val="00C315A8"/>
    <w:rsid w:val="00C344D7"/>
    <w:rsid w:val="00C35CAD"/>
    <w:rsid w:val="00C36379"/>
    <w:rsid w:val="00C36593"/>
    <w:rsid w:val="00C36800"/>
    <w:rsid w:val="00C4120F"/>
    <w:rsid w:val="00C41355"/>
    <w:rsid w:val="00C414DB"/>
    <w:rsid w:val="00C41694"/>
    <w:rsid w:val="00C417D3"/>
    <w:rsid w:val="00C418C9"/>
    <w:rsid w:val="00C423A3"/>
    <w:rsid w:val="00C4272A"/>
    <w:rsid w:val="00C446C3"/>
    <w:rsid w:val="00C44761"/>
    <w:rsid w:val="00C44D02"/>
    <w:rsid w:val="00C4516B"/>
    <w:rsid w:val="00C460FC"/>
    <w:rsid w:val="00C464E7"/>
    <w:rsid w:val="00C46D80"/>
    <w:rsid w:val="00C47189"/>
    <w:rsid w:val="00C47ADA"/>
    <w:rsid w:val="00C47E35"/>
    <w:rsid w:val="00C505D0"/>
    <w:rsid w:val="00C511D2"/>
    <w:rsid w:val="00C5141B"/>
    <w:rsid w:val="00C5236F"/>
    <w:rsid w:val="00C52ABE"/>
    <w:rsid w:val="00C5378D"/>
    <w:rsid w:val="00C53854"/>
    <w:rsid w:val="00C53C5D"/>
    <w:rsid w:val="00C53CE3"/>
    <w:rsid w:val="00C5457C"/>
    <w:rsid w:val="00C54764"/>
    <w:rsid w:val="00C57B42"/>
    <w:rsid w:val="00C6047B"/>
    <w:rsid w:val="00C60C3B"/>
    <w:rsid w:val="00C61A81"/>
    <w:rsid w:val="00C626D1"/>
    <w:rsid w:val="00C658AE"/>
    <w:rsid w:val="00C65CB1"/>
    <w:rsid w:val="00C674C1"/>
    <w:rsid w:val="00C67D8F"/>
    <w:rsid w:val="00C70F3A"/>
    <w:rsid w:val="00C714FC"/>
    <w:rsid w:val="00C72803"/>
    <w:rsid w:val="00C80116"/>
    <w:rsid w:val="00C80569"/>
    <w:rsid w:val="00C8175A"/>
    <w:rsid w:val="00C81F8B"/>
    <w:rsid w:val="00C8226E"/>
    <w:rsid w:val="00C840E9"/>
    <w:rsid w:val="00C84321"/>
    <w:rsid w:val="00C8517B"/>
    <w:rsid w:val="00C8567D"/>
    <w:rsid w:val="00C85E49"/>
    <w:rsid w:val="00C87B8D"/>
    <w:rsid w:val="00C91433"/>
    <w:rsid w:val="00C9237E"/>
    <w:rsid w:val="00C92F72"/>
    <w:rsid w:val="00C9374F"/>
    <w:rsid w:val="00C94867"/>
    <w:rsid w:val="00C95DF6"/>
    <w:rsid w:val="00C95E35"/>
    <w:rsid w:val="00C96F7C"/>
    <w:rsid w:val="00CA0B8A"/>
    <w:rsid w:val="00CA196E"/>
    <w:rsid w:val="00CA2B76"/>
    <w:rsid w:val="00CA306C"/>
    <w:rsid w:val="00CA4961"/>
    <w:rsid w:val="00CA69CE"/>
    <w:rsid w:val="00CB348C"/>
    <w:rsid w:val="00CB77AE"/>
    <w:rsid w:val="00CB7B24"/>
    <w:rsid w:val="00CC0420"/>
    <w:rsid w:val="00CC1D69"/>
    <w:rsid w:val="00CC1DE6"/>
    <w:rsid w:val="00CC3BAB"/>
    <w:rsid w:val="00CC4B21"/>
    <w:rsid w:val="00CC579C"/>
    <w:rsid w:val="00CC6823"/>
    <w:rsid w:val="00CC7338"/>
    <w:rsid w:val="00CD0272"/>
    <w:rsid w:val="00CD081E"/>
    <w:rsid w:val="00CD0D9A"/>
    <w:rsid w:val="00CD1806"/>
    <w:rsid w:val="00CD1B26"/>
    <w:rsid w:val="00CD20CB"/>
    <w:rsid w:val="00CD2E3A"/>
    <w:rsid w:val="00CD4D99"/>
    <w:rsid w:val="00CD523A"/>
    <w:rsid w:val="00CD62DF"/>
    <w:rsid w:val="00CE3434"/>
    <w:rsid w:val="00CE3BF0"/>
    <w:rsid w:val="00CE49EC"/>
    <w:rsid w:val="00CE5E54"/>
    <w:rsid w:val="00CE7294"/>
    <w:rsid w:val="00CF06E7"/>
    <w:rsid w:val="00CF21C4"/>
    <w:rsid w:val="00CF2FC7"/>
    <w:rsid w:val="00CF5D9A"/>
    <w:rsid w:val="00CF6DDB"/>
    <w:rsid w:val="00CF73B1"/>
    <w:rsid w:val="00D00FE6"/>
    <w:rsid w:val="00D01048"/>
    <w:rsid w:val="00D01B14"/>
    <w:rsid w:val="00D01D58"/>
    <w:rsid w:val="00D02462"/>
    <w:rsid w:val="00D03F9D"/>
    <w:rsid w:val="00D04222"/>
    <w:rsid w:val="00D048F3"/>
    <w:rsid w:val="00D04EC3"/>
    <w:rsid w:val="00D06A7E"/>
    <w:rsid w:val="00D074E7"/>
    <w:rsid w:val="00D07C5A"/>
    <w:rsid w:val="00D109D2"/>
    <w:rsid w:val="00D15459"/>
    <w:rsid w:val="00D15595"/>
    <w:rsid w:val="00D16159"/>
    <w:rsid w:val="00D17825"/>
    <w:rsid w:val="00D17DA7"/>
    <w:rsid w:val="00D20595"/>
    <w:rsid w:val="00D23993"/>
    <w:rsid w:val="00D23E33"/>
    <w:rsid w:val="00D24CFA"/>
    <w:rsid w:val="00D24DD9"/>
    <w:rsid w:val="00D252BB"/>
    <w:rsid w:val="00D300F2"/>
    <w:rsid w:val="00D302FF"/>
    <w:rsid w:val="00D31390"/>
    <w:rsid w:val="00D31B75"/>
    <w:rsid w:val="00D332DA"/>
    <w:rsid w:val="00D3670E"/>
    <w:rsid w:val="00D374EE"/>
    <w:rsid w:val="00D378F6"/>
    <w:rsid w:val="00D40596"/>
    <w:rsid w:val="00D45244"/>
    <w:rsid w:val="00D45BB8"/>
    <w:rsid w:val="00D45FB9"/>
    <w:rsid w:val="00D46EF5"/>
    <w:rsid w:val="00D4785A"/>
    <w:rsid w:val="00D47B4A"/>
    <w:rsid w:val="00D47E8A"/>
    <w:rsid w:val="00D52E40"/>
    <w:rsid w:val="00D53161"/>
    <w:rsid w:val="00D53ED3"/>
    <w:rsid w:val="00D53F44"/>
    <w:rsid w:val="00D5401E"/>
    <w:rsid w:val="00D54F35"/>
    <w:rsid w:val="00D55025"/>
    <w:rsid w:val="00D56836"/>
    <w:rsid w:val="00D56ADF"/>
    <w:rsid w:val="00D571DC"/>
    <w:rsid w:val="00D57712"/>
    <w:rsid w:val="00D578CB"/>
    <w:rsid w:val="00D579E1"/>
    <w:rsid w:val="00D60E6B"/>
    <w:rsid w:val="00D62216"/>
    <w:rsid w:val="00D62839"/>
    <w:rsid w:val="00D62B53"/>
    <w:rsid w:val="00D64353"/>
    <w:rsid w:val="00D6544A"/>
    <w:rsid w:val="00D67270"/>
    <w:rsid w:val="00D677D2"/>
    <w:rsid w:val="00D70321"/>
    <w:rsid w:val="00D72B74"/>
    <w:rsid w:val="00D7330F"/>
    <w:rsid w:val="00D742F8"/>
    <w:rsid w:val="00D745CC"/>
    <w:rsid w:val="00D773CA"/>
    <w:rsid w:val="00D80D5F"/>
    <w:rsid w:val="00D80D8A"/>
    <w:rsid w:val="00D81516"/>
    <w:rsid w:val="00D815BE"/>
    <w:rsid w:val="00D81FB8"/>
    <w:rsid w:val="00D827B3"/>
    <w:rsid w:val="00D8294A"/>
    <w:rsid w:val="00D82BF4"/>
    <w:rsid w:val="00D83999"/>
    <w:rsid w:val="00D839D1"/>
    <w:rsid w:val="00D83ECE"/>
    <w:rsid w:val="00D856E2"/>
    <w:rsid w:val="00D8623B"/>
    <w:rsid w:val="00D911F1"/>
    <w:rsid w:val="00D95711"/>
    <w:rsid w:val="00D95D85"/>
    <w:rsid w:val="00D96A65"/>
    <w:rsid w:val="00D96F97"/>
    <w:rsid w:val="00D97BDB"/>
    <w:rsid w:val="00DA1E4E"/>
    <w:rsid w:val="00DA1F97"/>
    <w:rsid w:val="00DA2B99"/>
    <w:rsid w:val="00DA33BE"/>
    <w:rsid w:val="00DA3ABD"/>
    <w:rsid w:val="00DA3D54"/>
    <w:rsid w:val="00DA7292"/>
    <w:rsid w:val="00DA76CA"/>
    <w:rsid w:val="00DB0E67"/>
    <w:rsid w:val="00DB10EF"/>
    <w:rsid w:val="00DB3920"/>
    <w:rsid w:val="00DB3A32"/>
    <w:rsid w:val="00DB3C03"/>
    <w:rsid w:val="00DC114A"/>
    <w:rsid w:val="00DC14A5"/>
    <w:rsid w:val="00DC2BD9"/>
    <w:rsid w:val="00DC395E"/>
    <w:rsid w:val="00DC4016"/>
    <w:rsid w:val="00DC426E"/>
    <w:rsid w:val="00DC449D"/>
    <w:rsid w:val="00DC49E0"/>
    <w:rsid w:val="00DC60A8"/>
    <w:rsid w:val="00DC65DB"/>
    <w:rsid w:val="00DC67FA"/>
    <w:rsid w:val="00DC76BD"/>
    <w:rsid w:val="00DD0581"/>
    <w:rsid w:val="00DD0986"/>
    <w:rsid w:val="00DD13FF"/>
    <w:rsid w:val="00DD2308"/>
    <w:rsid w:val="00DD2F43"/>
    <w:rsid w:val="00DD3F80"/>
    <w:rsid w:val="00DD52B9"/>
    <w:rsid w:val="00DD58BF"/>
    <w:rsid w:val="00DD5E85"/>
    <w:rsid w:val="00DD6104"/>
    <w:rsid w:val="00DD7AD7"/>
    <w:rsid w:val="00DE02F6"/>
    <w:rsid w:val="00DE2C89"/>
    <w:rsid w:val="00DE37A0"/>
    <w:rsid w:val="00DE3E4F"/>
    <w:rsid w:val="00DE42C5"/>
    <w:rsid w:val="00DE6097"/>
    <w:rsid w:val="00DE659F"/>
    <w:rsid w:val="00DE7CFF"/>
    <w:rsid w:val="00DF1175"/>
    <w:rsid w:val="00DF4652"/>
    <w:rsid w:val="00DF533E"/>
    <w:rsid w:val="00DF5B9F"/>
    <w:rsid w:val="00DF6EC3"/>
    <w:rsid w:val="00DF71BD"/>
    <w:rsid w:val="00DF721C"/>
    <w:rsid w:val="00DF74B1"/>
    <w:rsid w:val="00DF79AA"/>
    <w:rsid w:val="00E05102"/>
    <w:rsid w:val="00E054C1"/>
    <w:rsid w:val="00E060E8"/>
    <w:rsid w:val="00E06B34"/>
    <w:rsid w:val="00E06E1A"/>
    <w:rsid w:val="00E06F86"/>
    <w:rsid w:val="00E07424"/>
    <w:rsid w:val="00E0766C"/>
    <w:rsid w:val="00E07F41"/>
    <w:rsid w:val="00E13A9C"/>
    <w:rsid w:val="00E14D78"/>
    <w:rsid w:val="00E155A3"/>
    <w:rsid w:val="00E1654D"/>
    <w:rsid w:val="00E16CF7"/>
    <w:rsid w:val="00E16D32"/>
    <w:rsid w:val="00E1740E"/>
    <w:rsid w:val="00E17595"/>
    <w:rsid w:val="00E17752"/>
    <w:rsid w:val="00E17823"/>
    <w:rsid w:val="00E17B70"/>
    <w:rsid w:val="00E17CA6"/>
    <w:rsid w:val="00E207B3"/>
    <w:rsid w:val="00E20830"/>
    <w:rsid w:val="00E21705"/>
    <w:rsid w:val="00E2201C"/>
    <w:rsid w:val="00E22A91"/>
    <w:rsid w:val="00E233C5"/>
    <w:rsid w:val="00E236EA"/>
    <w:rsid w:val="00E2591E"/>
    <w:rsid w:val="00E25D95"/>
    <w:rsid w:val="00E31509"/>
    <w:rsid w:val="00E31B06"/>
    <w:rsid w:val="00E32382"/>
    <w:rsid w:val="00E32EC8"/>
    <w:rsid w:val="00E3341C"/>
    <w:rsid w:val="00E33D1C"/>
    <w:rsid w:val="00E370B1"/>
    <w:rsid w:val="00E43456"/>
    <w:rsid w:val="00E437CF"/>
    <w:rsid w:val="00E43F97"/>
    <w:rsid w:val="00E44A3E"/>
    <w:rsid w:val="00E45E6D"/>
    <w:rsid w:val="00E51924"/>
    <w:rsid w:val="00E51F77"/>
    <w:rsid w:val="00E526FD"/>
    <w:rsid w:val="00E52B3C"/>
    <w:rsid w:val="00E539AE"/>
    <w:rsid w:val="00E54B3A"/>
    <w:rsid w:val="00E55601"/>
    <w:rsid w:val="00E56A9F"/>
    <w:rsid w:val="00E56D8C"/>
    <w:rsid w:val="00E570D1"/>
    <w:rsid w:val="00E57781"/>
    <w:rsid w:val="00E612C0"/>
    <w:rsid w:val="00E616E9"/>
    <w:rsid w:val="00E62013"/>
    <w:rsid w:val="00E62545"/>
    <w:rsid w:val="00E62FF0"/>
    <w:rsid w:val="00E6324F"/>
    <w:rsid w:val="00E64B5C"/>
    <w:rsid w:val="00E65E73"/>
    <w:rsid w:val="00E66710"/>
    <w:rsid w:val="00E70431"/>
    <w:rsid w:val="00E709FF"/>
    <w:rsid w:val="00E7102D"/>
    <w:rsid w:val="00E72406"/>
    <w:rsid w:val="00E72794"/>
    <w:rsid w:val="00E72864"/>
    <w:rsid w:val="00E72899"/>
    <w:rsid w:val="00E737EF"/>
    <w:rsid w:val="00E74B2C"/>
    <w:rsid w:val="00E74E8B"/>
    <w:rsid w:val="00E74F53"/>
    <w:rsid w:val="00E752C2"/>
    <w:rsid w:val="00E753D2"/>
    <w:rsid w:val="00E75A29"/>
    <w:rsid w:val="00E760E6"/>
    <w:rsid w:val="00E76457"/>
    <w:rsid w:val="00E76BD9"/>
    <w:rsid w:val="00E76EC3"/>
    <w:rsid w:val="00E76FC7"/>
    <w:rsid w:val="00E7763D"/>
    <w:rsid w:val="00E818E7"/>
    <w:rsid w:val="00E81F6B"/>
    <w:rsid w:val="00E82C33"/>
    <w:rsid w:val="00E82FF4"/>
    <w:rsid w:val="00E838A8"/>
    <w:rsid w:val="00E83BE5"/>
    <w:rsid w:val="00E84F1A"/>
    <w:rsid w:val="00E851AB"/>
    <w:rsid w:val="00E86BD8"/>
    <w:rsid w:val="00E87F77"/>
    <w:rsid w:val="00E9025D"/>
    <w:rsid w:val="00E92444"/>
    <w:rsid w:val="00E9316F"/>
    <w:rsid w:val="00E9588B"/>
    <w:rsid w:val="00E95944"/>
    <w:rsid w:val="00E96B9A"/>
    <w:rsid w:val="00E97A72"/>
    <w:rsid w:val="00EA0BDE"/>
    <w:rsid w:val="00EA14A0"/>
    <w:rsid w:val="00EA1FC8"/>
    <w:rsid w:val="00EA3491"/>
    <w:rsid w:val="00EA3BB8"/>
    <w:rsid w:val="00EA4465"/>
    <w:rsid w:val="00EA48EB"/>
    <w:rsid w:val="00EA5757"/>
    <w:rsid w:val="00EA7E7F"/>
    <w:rsid w:val="00EB044A"/>
    <w:rsid w:val="00EB1AB3"/>
    <w:rsid w:val="00EB1BA0"/>
    <w:rsid w:val="00EB2650"/>
    <w:rsid w:val="00EB39B3"/>
    <w:rsid w:val="00EB4326"/>
    <w:rsid w:val="00EB458E"/>
    <w:rsid w:val="00EB66FA"/>
    <w:rsid w:val="00EB68FB"/>
    <w:rsid w:val="00EC0F0B"/>
    <w:rsid w:val="00EC106D"/>
    <w:rsid w:val="00EC208D"/>
    <w:rsid w:val="00EC2D08"/>
    <w:rsid w:val="00EC4682"/>
    <w:rsid w:val="00EC4AAA"/>
    <w:rsid w:val="00EC5B41"/>
    <w:rsid w:val="00EC5FC1"/>
    <w:rsid w:val="00EC7D26"/>
    <w:rsid w:val="00ED0935"/>
    <w:rsid w:val="00ED42AF"/>
    <w:rsid w:val="00ED4727"/>
    <w:rsid w:val="00ED4F7A"/>
    <w:rsid w:val="00ED5237"/>
    <w:rsid w:val="00ED7020"/>
    <w:rsid w:val="00ED72D6"/>
    <w:rsid w:val="00ED748E"/>
    <w:rsid w:val="00ED7732"/>
    <w:rsid w:val="00EE0343"/>
    <w:rsid w:val="00EE0DD6"/>
    <w:rsid w:val="00EE14A8"/>
    <w:rsid w:val="00EE1C09"/>
    <w:rsid w:val="00EE24AA"/>
    <w:rsid w:val="00EE3A8F"/>
    <w:rsid w:val="00EE3C93"/>
    <w:rsid w:val="00EE528A"/>
    <w:rsid w:val="00EE6E34"/>
    <w:rsid w:val="00EE7918"/>
    <w:rsid w:val="00EF16F1"/>
    <w:rsid w:val="00EF1779"/>
    <w:rsid w:val="00EF18AE"/>
    <w:rsid w:val="00EF1DEF"/>
    <w:rsid w:val="00EF2278"/>
    <w:rsid w:val="00EF2D6B"/>
    <w:rsid w:val="00EF3654"/>
    <w:rsid w:val="00EF41D6"/>
    <w:rsid w:val="00EF4A58"/>
    <w:rsid w:val="00EF52C7"/>
    <w:rsid w:val="00EF6F3D"/>
    <w:rsid w:val="00EF7B95"/>
    <w:rsid w:val="00F003ED"/>
    <w:rsid w:val="00F01C0E"/>
    <w:rsid w:val="00F02041"/>
    <w:rsid w:val="00F04944"/>
    <w:rsid w:val="00F049D1"/>
    <w:rsid w:val="00F04EAF"/>
    <w:rsid w:val="00F05EA8"/>
    <w:rsid w:val="00F0630C"/>
    <w:rsid w:val="00F0679D"/>
    <w:rsid w:val="00F06C0D"/>
    <w:rsid w:val="00F11D8A"/>
    <w:rsid w:val="00F127F5"/>
    <w:rsid w:val="00F12E4C"/>
    <w:rsid w:val="00F14C32"/>
    <w:rsid w:val="00F15EAE"/>
    <w:rsid w:val="00F16097"/>
    <w:rsid w:val="00F16926"/>
    <w:rsid w:val="00F17017"/>
    <w:rsid w:val="00F22FA0"/>
    <w:rsid w:val="00F230DF"/>
    <w:rsid w:val="00F2536F"/>
    <w:rsid w:val="00F25A99"/>
    <w:rsid w:val="00F27CA9"/>
    <w:rsid w:val="00F27D1F"/>
    <w:rsid w:val="00F323C0"/>
    <w:rsid w:val="00F323E3"/>
    <w:rsid w:val="00F33566"/>
    <w:rsid w:val="00F33954"/>
    <w:rsid w:val="00F33EBD"/>
    <w:rsid w:val="00F34223"/>
    <w:rsid w:val="00F34C4D"/>
    <w:rsid w:val="00F35145"/>
    <w:rsid w:val="00F360E9"/>
    <w:rsid w:val="00F37D2D"/>
    <w:rsid w:val="00F40319"/>
    <w:rsid w:val="00F40952"/>
    <w:rsid w:val="00F41116"/>
    <w:rsid w:val="00F41354"/>
    <w:rsid w:val="00F41633"/>
    <w:rsid w:val="00F4275E"/>
    <w:rsid w:val="00F434F0"/>
    <w:rsid w:val="00F43BFC"/>
    <w:rsid w:val="00F44A63"/>
    <w:rsid w:val="00F44C61"/>
    <w:rsid w:val="00F47EEB"/>
    <w:rsid w:val="00F5143E"/>
    <w:rsid w:val="00F524FC"/>
    <w:rsid w:val="00F5280F"/>
    <w:rsid w:val="00F52EDA"/>
    <w:rsid w:val="00F54F6E"/>
    <w:rsid w:val="00F552CC"/>
    <w:rsid w:val="00F575A9"/>
    <w:rsid w:val="00F65105"/>
    <w:rsid w:val="00F65159"/>
    <w:rsid w:val="00F65374"/>
    <w:rsid w:val="00F6549E"/>
    <w:rsid w:val="00F65AB7"/>
    <w:rsid w:val="00F67068"/>
    <w:rsid w:val="00F67B86"/>
    <w:rsid w:val="00F67D32"/>
    <w:rsid w:val="00F71455"/>
    <w:rsid w:val="00F72D6C"/>
    <w:rsid w:val="00F734E0"/>
    <w:rsid w:val="00F75C8B"/>
    <w:rsid w:val="00F77F4A"/>
    <w:rsid w:val="00F80270"/>
    <w:rsid w:val="00F80292"/>
    <w:rsid w:val="00F8342C"/>
    <w:rsid w:val="00F840E9"/>
    <w:rsid w:val="00F84EC2"/>
    <w:rsid w:val="00F8574B"/>
    <w:rsid w:val="00F85F4A"/>
    <w:rsid w:val="00F8644F"/>
    <w:rsid w:val="00F8697B"/>
    <w:rsid w:val="00F90CC6"/>
    <w:rsid w:val="00F914A3"/>
    <w:rsid w:val="00F9197D"/>
    <w:rsid w:val="00F91E86"/>
    <w:rsid w:val="00F93A55"/>
    <w:rsid w:val="00F93E50"/>
    <w:rsid w:val="00F94445"/>
    <w:rsid w:val="00F951F9"/>
    <w:rsid w:val="00F95265"/>
    <w:rsid w:val="00F95E3B"/>
    <w:rsid w:val="00F979EA"/>
    <w:rsid w:val="00F97A58"/>
    <w:rsid w:val="00FA09EE"/>
    <w:rsid w:val="00FA1220"/>
    <w:rsid w:val="00FA1813"/>
    <w:rsid w:val="00FA1B1C"/>
    <w:rsid w:val="00FA1E26"/>
    <w:rsid w:val="00FA2F97"/>
    <w:rsid w:val="00FA458E"/>
    <w:rsid w:val="00FA5318"/>
    <w:rsid w:val="00FA6348"/>
    <w:rsid w:val="00FA6F3C"/>
    <w:rsid w:val="00FB1556"/>
    <w:rsid w:val="00FB28CF"/>
    <w:rsid w:val="00FB4587"/>
    <w:rsid w:val="00FB5A28"/>
    <w:rsid w:val="00FC2C38"/>
    <w:rsid w:val="00FC32FF"/>
    <w:rsid w:val="00FC3B7A"/>
    <w:rsid w:val="00FC4746"/>
    <w:rsid w:val="00FC4D16"/>
    <w:rsid w:val="00FD07A4"/>
    <w:rsid w:val="00FD0983"/>
    <w:rsid w:val="00FD145D"/>
    <w:rsid w:val="00FD1508"/>
    <w:rsid w:val="00FD24F9"/>
    <w:rsid w:val="00FD260C"/>
    <w:rsid w:val="00FD2C0F"/>
    <w:rsid w:val="00FD2EDA"/>
    <w:rsid w:val="00FD55F7"/>
    <w:rsid w:val="00FD693E"/>
    <w:rsid w:val="00FD69D9"/>
    <w:rsid w:val="00FE022E"/>
    <w:rsid w:val="00FE08BD"/>
    <w:rsid w:val="00FE1769"/>
    <w:rsid w:val="00FE1C6A"/>
    <w:rsid w:val="00FE1E5A"/>
    <w:rsid w:val="00FE38D8"/>
    <w:rsid w:val="00FE458E"/>
    <w:rsid w:val="00FE4A75"/>
    <w:rsid w:val="00FE52F5"/>
    <w:rsid w:val="00FE569B"/>
    <w:rsid w:val="00FE6357"/>
    <w:rsid w:val="00FE6AD6"/>
    <w:rsid w:val="00FE7E1A"/>
    <w:rsid w:val="00FF0903"/>
    <w:rsid w:val="00FF0C1B"/>
    <w:rsid w:val="00FF0CE3"/>
    <w:rsid w:val="00FF0F6F"/>
    <w:rsid w:val="00FF14BB"/>
    <w:rsid w:val="00FF3089"/>
    <w:rsid w:val="00FF3DDD"/>
    <w:rsid w:val="00FF4856"/>
    <w:rsid w:val="00FF6913"/>
    <w:rsid w:val="096B3239"/>
    <w:rsid w:val="0C928D60"/>
    <w:rsid w:val="14796DED"/>
    <w:rsid w:val="1BABFB65"/>
    <w:rsid w:val="27D82254"/>
    <w:rsid w:val="2A090D71"/>
    <w:rsid w:val="32FA41BF"/>
    <w:rsid w:val="3ADEE0E2"/>
    <w:rsid w:val="41EFF306"/>
    <w:rsid w:val="429CBEEB"/>
    <w:rsid w:val="4C5103CC"/>
    <w:rsid w:val="51C859F3"/>
    <w:rsid w:val="52089280"/>
    <w:rsid w:val="5271958B"/>
    <w:rsid w:val="5966EBDA"/>
    <w:rsid w:val="663B5184"/>
    <w:rsid w:val="69F02D45"/>
    <w:rsid w:val="715E8544"/>
    <w:rsid w:val="719DCF26"/>
    <w:rsid w:val="783D8247"/>
    <w:rsid w:val="78DEB353"/>
    <w:rsid w:val="7B0888CC"/>
    <w:rsid w:val="7B4D9412"/>
    <w:rsid w:val="7BF85C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138E7"/>
  <w14:defaultImageDpi w14:val="32767"/>
  <w15:chartTrackingRefBased/>
  <w15:docId w15:val="{B2B5B2B4-B2BD-4527-A9B1-44D381CF9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14E2D"/>
    <w:pPr>
      <w:spacing w:after="120" w:line="360" w:lineRule="auto"/>
    </w:pPr>
    <w:rPr>
      <w:rFonts w:ascii="Nunito" w:eastAsiaTheme="minorEastAsia" w:hAnsi="Nunito"/>
    </w:rPr>
  </w:style>
  <w:style w:type="paragraph" w:styleId="Heading1">
    <w:name w:val="heading 1"/>
    <w:basedOn w:val="Normal"/>
    <w:next w:val="Normal"/>
    <w:link w:val="Heading1Char"/>
    <w:uiPriority w:val="9"/>
    <w:qFormat/>
    <w:rsid w:val="00CD4D99"/>
    <w:pPr>
      <w:keepNext/>
      <w:keepLines/>
      <w:spacing w:after="0"/>
      <w:outlineLvl w:val="0"/>
    </w:pPr>
    <w:rPr>
      <w:rFonts w:ascii="Nunito Sans" w:eastAsiaTheme="majorEastAsia" w:hAnsi="Nunito Sans" w:cs="Poppins SemiBold"/>
      <w:b/>
      <w:color w:val="690048"/>
      <w:sz w:val="28"/>
      <w:szCs w:val="28"/>
    </w:rPr>
  </w:style>
  <w:style w:type="paragraph" w:styleId="Heading2">
    <w:name w:val="heading 2"/>
    <w:basedOn w:val="Normal"/>
    <w:next w:val="Normal"/>
    <w:link w:val="Heading2Char"/>
    <w:uiPriority w:val="9"/>
    <w:unhideWhenUsed/>
    <w:qFormat/>
    <w:rsid w:val="003A4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8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8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8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8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839"/>
    <w:rPr>
      <w:rFonts w:ascii="Nunito Sans" w:eastAsiaTheme="majorEastAsia" w:hAnsi="Nunito Sans" w:cs="Poppins SemiBold"/>
      <w:b/>
      <w:color w:val="690048"/>
      <w:sz w:val="28"/>
      <w:szCs w:val="28"/>
    </w:rPr>
  </w:style>
  <w:style w:type="character" w:customStyle="1" w:styleId="Heading2Char">
    <w:name w:val="Heading 2 Char"/>
    <w:basedOn w:val="DefaultParagraphFont"/>
    <w:link w:val="Heading2"/>
    <w:uiPriority w:val="9"/>
    <w:rsid w:val="003A4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839"/>
    <w:rPr>
      <w:rFonts w:eastAsiaTheme="majorEastAsia" w:cstheme="majorBidi"/>
      <w:color w:val="272727" w:themeColor="text1" w:themeTint="D8"/>
    </w:rPr>
  </w:style>
  <w:style w:type="paragraph" w:styleId="Title">
    <w:name w:val="Title"/>
    <w:basedOn w:val="Normal"/>
    <w:next w:val="Normal"/>
    <w:link w:val="TitleChar"/>
    <w:uiPriority w:val="10"/>
    <w:qFormat/>
    <w:rsid w:val="003A48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83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8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4839"/>
    <w:rPr>
      <w:i/>
      <w:iCs/>
      <w:color w:val="404040" w:themeColor="text1" w:themeTint="BF"/>
    </w:rPr>
  </w:style>
  <w:style w:type="paragraph" w:styleId="ListParagraph">
    <w:name w:val="List Paragraph"/>
    <w:basedOn w:val="Normal"/>
    <w:uiPriority w:val="34"/>
    <w:qFormat/>
    <w:rsid w:val="003A4839"/>
    <w:pPr>
      <w:ind w:left="720"/>
      <w:contextualSpacing/>
    </w:pPr>
  </w:style>
  <w:style w:type="character" w:styleId="IntenseEmphasis">
    <w:name w:val="Intense Emphasis"/>
    <w:basedOn w:val="DefaultParagraphFont"/>
    <w:uiPriority w:val="21"/>
    <w:qFormat/>
    <w:rsid w:val="003A4839"/>
    <w:rPr>
      <w:i/>
      <w:iCs/>
      <w:color w:val="0F4761" w:themeColor="accent1" w:themeShade="BF"/>
    </w:rPr>
  </w:style>
  <w:style w:type="paragraph" w:styleId="IntenseQuote">
    <w:name w:val="Intense Quote"/>
    <w:basedOn w:val="Normal"/>
    <w:next w:val="Normal"/>
    <w:link w:val="IntenseQuoteChar"/>
    <w:uiPriority w:val="30"/>
    <w:qFormat/>
    <w:rsid w:val="003A4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839"/>
    <w:rPr>
      <w:i/>
      <w:iCs/>
      <w:color w:val="0F4761" w:themeColor="accent1" w:themeShade="BF"/>
    </w:rPr>
  </w:style>
  <w:style w:type="character" w:styleId="IntenseReference">
    <w:name w:val="Intense Reference"/>
    <w:basedOn w:val="DefaultParagraphFont"/>
    <w:uiPriority w:val="32"/>
    <w:qFormat/>
    <w:rsid w:val="003A4839"/>
    <w:rPr>
      <w:b/>
      <w:bCs/>
      <w:smallCaps/>
      <w:color w:val="0F4761" w:themeColor="accent1" w:themeShade="BF"/>
      <w:spacing w:val="5"/>
    </w:rPr>
  </w:style>
  <w:style w:type="paragraph" w:styleId="Header">
    <w:name w:val="header"/>
    <w:basedOn w:val="Normal"/>
    <w:link w:val="HeaderChar"/>
    <w:uiPriority w:val="99"/>
    <w:unhideWhenUsed/>
    <w:rsid w:val="003A4839"/>
    <w:pPr>
      <w:tabs>
        <w:tab w:val="center" w:pos="4680"/>
        <w:tab w:val="right" w:pos="9360"/>
      </w:tabs>
    </w:pPr>
  </w:style>
  <w:style w:type="character" w:customStyle="1" w:styleId="HeaderChar">
    <w:name w:val="Header Char"/>
    <w:basedOn w:val="DefaultParagraphFont"/>
    <w:link w:val="Header"/>
    <w:uiPriority w:val="99"/>
    <w:rsid w:val="003A4839"/>
    <w:rPr>
      <w:rFonts w:eastAsiaTheme="minorEastAsia"/>
    </w:rPr>
  </w:style>
  <w:style w:type="paragraph" w:styleId="Footer">
    <w:name w:val="footer"/>
    <w:basedOn w:val="Normal"/>
    <w:link w:val="FooterChar"/>
    <w:uiPriority w:val="99"/>
    <w:unhideWhenUsed/>
    <w:rsid w:val="003A4839"/>
    <w:pPr>
      <w:tabs>
        <w:tab w:val="center" w:pos="4680"/>
        <w:tab w:val="right" w:pos="9360"/>
      </w:tabs>
    </w:pPr>
  </w:style>
  <w:style w:type="character" w:customStyle="1" w:styleId="FooterChar">
    <w:name w:val="Footer Char"/>
    <w:basedOn w:val="DefaultParagraphFont"/>
    <w:link w:val="Footer"/>
    <w:uiPriority w:val="99"/>
    <w:rsid w:val="003A4839"/>
    <w:rPr>
      <w:rFonts w:eastAsiaTheme="minorEastAsia"/>
    </w:rPr>
  </w:style>
  <w:style w:type="paragraph" w:customStyle="1" w:styleId="QIDANHeading">
    <w:name w:val="QIDAN Heading"/>
    <w:basedOn w:val="Normal"/>
    <w:qFormat/>
    <w:rsid w:val="006363D8"/>
    <w:rPr>
      <w:rFonts w:ascii="Poppins SemiBold" w:hAnsi="Poppins SemiBold"/>
      <w:bCs/>
      <w:color w:val="690048"/>
      <w:sz w:val="48"/>
      <w:szCs w:val="48"/>
      <w:lang w:val="en-AU"/>
    </w:rPr>
  </w:style>
  <w:style w:type="paragraph" w:customStyle="1" w:styleId="QIDANSubheading">
    <w:name w:val="QIDAN Subheading"/>
    <w:basedOn w:val="Normal"/>
    <w:qFormat/>
    <w:rsid w:val="006363D8"/>
    <w:rPr>
      <w:rFonts w:ascii="Nunito Sans" w:hAnsi="Nunito Sans"/>
      <w:b/>
      <w:bCs/>
      <w:color w:val="690048"/>
      <w:sz w:val="28"/>
      <w:lang w:val="en-AU"/>
    </w:rPr>
  </w:style>
  <w:style w:type="paragraph" w:customStyle="1" w:styleId="QIDANParagraph">
    <w:name w:val="QIDAN Paragraph"/>
    <w:basedOn w:val="Normal"/>
    <w:qFormat/>
    <w:rsid w:val="00680C52"/>
    <w:rPr>
      <w:rFonts w:ascii="Nunito Sans" w:hAnsi="Nunito Sans"/>
      <w:szCs w:val="20"/>
      <w:lang w:val="en-AU"/>
    </w:rPr>
  </w:style>
  <w:style w:type="character" w:styleId="PageNumber">
    <w:name w:val="page number"/>
    <w:basedOn w:val="DefaultParagraphFont"/>
    <w:uiPriority w:val="99"/>
    <w:semiHidden/>
    <w:unhideWhenUsed/>
    <w:rsid w:val="002C77FC"/>
  </w:style>
  <w:style w:type="character" w:styleId="Hyperlink">
    <w:name w:val="Hyperlink"/>
    <w:basedOn w:val="DefaultParagraphFont"/>
    <w:uiPriority w:val="99"/>
    <w:unhideWhenUsed/>
    <w:rsid w:val="00E16CF7"/>
    <w:rPr>
      <w:color w:val="467886"/>
      <w:u w:val="single"/>
    </w:rPr>
  </w:style>
  <w:style w:type="paragraph" w:styleId="FootnoteText">
    <w:name w:val="footnote text"/>
    <w:basedOn w:val="Normal"/>
    <w:link w:val="FootnoteTextChar"/>
    <w:uiPriority w:val="99"/>
    <w:semiHidden/>
    <w:unhideWhenUsed/>
    <w:rsid w:val="00E16CF7"/>
    <w:pPr>
      <w:spacing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E16CF7"/>
    <w:rPr>
      <w:rFonts w:eastAsiaTheme="minorEastAsia"/>
      <w:sz w:val="20"/>
      <w:szCs w:val="20"/>
    </w:rPr>
  </w:style>
  <w:style w:type="character" w:styleId="FootnoteReference">
    <w:name w:val="footnote reference"/>
    <w:basedOn w:val="DefaultParagraphFont"/>
    <w:uiPriority w:val="99"/>
    <w:semiHidden/>
    <w:unhideWhenUsed/>
    <w:rsid w:val="00E16CF7"/>
    <w:rPr>
      <w:vertAlign w:val="superscript"/>
    </w:rPr>
  </w:style>
  <w:style w:type="paragraph" w:styleId="Revision">
    <w:name w:val="Revision"/>
    <w:hidden/>
    <w:uiPriority w:val="99"/>
    <w:semiHidden/>
    <w:rsid w:val="00F95265"/>
    <w:rPr>
      <w:rFonts w:ascii="Nunito" w:eastAsiaTheme="minorEastAsia" w:hAnsi="Nunito"/>
    </w:rPr>
  </w:style>
  <w:style w:type="character" w:styleId="CommentReference">
    <w:name w:val="annotation reference"/>
    <w:basedOn w:val="DefaultParagraphFont"/>
    <w:uiPriority w:val="99"/>
    <w:semiHidden/>
    <w:unhideWhenUsed/>
    <w:rsid w:val="005855EA"/>
    <w:rPr>
      <w:sz w:val="16"/>
      <w:szCs w:val="16"/>
    </w:rPr>
  </w:style>
  <w:style w:type="paragraph" w:styleId="CommentText">
    <w:name w:val="annotation text"/>
    <w:basedOn w:val="Normal"/>
    <w:link w:val="CommentTextChar"/>
    <w:uiPriority w:val="99"/>
    <w:unhideWhenUsed/>
    <w:rsid w:val="005855EA"/>
    <w:pPr>
      <w:spacing w:line="240" w:lineRule="auto"/>
    </w:pPr>
    <w:rPr>
      <w:sz w:val="20"/>
      <w:szCs w:val="20"/>
    </w:rPr>
  </w:style>
  <w:style w:type="character" w:customStyle="1" w:styleId="CommentTextChar">
    <w:name w:val="Comment Text Char"/>
    <w:basedOn w:val="DefaultParagraphFont"/>
    <w:link w:val="CommentText"/>
    <w:uiPriority w:val="99"/>
    <w:rsid w:val="005855EA"/>
    <w:rPr>
      <w:rFonts w:ascii="Nunito" w:eastAsiaTheme="minorEastAsia" w:hAnsi="Nunito"/>
      <w:sz w:val="20"/>
      <w:szCs w:val="20"/>
    </w:rPr>
  </w:style>
  <w:style w:type="paragraph" w:styleId="CommentSubject">
    <w:name w:val="annotation subject"/>
    <w:basedOn w:val="CommentText"/>
    <w:next w:val="CommentText"/>
    <w:link w:val="CommentSubjectChar"/>
    <w:uiPriority w:val="99"/>
    <w:semiHidden/>
    <w:unhideWhenUsed/>
    <w:rsid w:val="005855EA"/>
    <w:rPr>
      <w:b/>
      <w:bCs/>
    </w:rPr>
  </w:style>
  <w:style w:type="character" w:customStyle="1" w:styleId="CommentSubjectChar">
    <w:name w:val="Comment Subject Char"/>
    <w:basedOn w:val="CommentTextChar"/>
    <w:link w:val="CommentSubject"/>
    <w:uiPriority w:val="99"/>
    <w:semiHidden/>
    <w:rsid w:val="005855EA"/>
    <w:rPr>
      <w:rFonts w:ascii="Nunito" w:eastAsiaTheme="minorEastAsia" w:hAnsi="Nunito"/>
      <w:b/>
      <w:bCs/>
      <w:sz w:val="20"/>
      <w:szCs w:val="20"/>
    </w:rPr>
  </w:style>
  <w:style w:type="paragraph" w:styleId="TOCHeading">
    <w:name w:val="TOC Heading"/>
    <w:basedOn w:val="Heading1"/>
    <w:next w:val="Normal"/>
    <w:uiPriority w:val="39"/>
    <w:unhideWhenUsed/>
    <w:qFormat/>
    <w:rsid w:val="000C57B8"/>
    <w:pPr>
      <w:spacing w:before="24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0C57B8"/>
    <w:pPr>
      <w:tabs>
        <w:tab w:val="right" w:leader="dot" w:pos="9737"/>
      </w:tabs>
      <w:spacing w:after="100"/>
    </w:pPr>
    <w:rPr>
      <w:rFonts w:ascii="Nunito Sans" w:hAnsi="Nunito Sans"/>
      <w:bCs/>
      <w:noProof/>
      <w:lang w:val="en-AU"/>
    </w:rPr>
  </w:style>
  <w:style w:type="character" w:styleId="UnresolvedMention">
    <w:name w:val="Unresolved Mention"/>
    <w:basedOn w:val="DefaultParagraphFont"/>
    <w:uiPriority w:val="99"/>
    <w:rsid w:val="000C57B8"/>
    <w:rPr>
      <w:color w:val="605E5C"/>
      <w:shd w:val="clear" w:color="auto" w:fill="E1DFDD"/>
    </w:rPr>
  </w:style>
  <w:style w:type="character" w:styleId="FollowedHyperlink">
    <w:name w:val="FollowedHyperlink"/>
    <w:basedOn w:val="DefaultParagraphFont"/>
    <w:uiPriority w:val="99"/>
    <w:semiHidden/>
    <w:unhideWhenUsed/>
    <w:rsid w:val="00730E8C"/>
    <w:rPr>
      <w:color w:val="96607D" w:themeColor="followedHyperlink"/>
      <w:u w:val="single"/>
    </w:rPr>
  </w:style>
  <w:style w:type="character" w:styleId="Mention">
    <w:name w:val="Mention"/>
    <w:basedOn w:val="DefaultParagraphFont"/>
    <w:uiPriority w:val="99"/>
    <w:unhideWhenUsed/>
    <w:rsid w:val="0040456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qidan.org.au/submissions/qidan-submission-to-the-disability-discrimination-act-1992-review/"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publications.qld.gov.au/ckan-publications-attachments-prod/resources/d2a29d6f-f2d1-4de7-b360-864a8e32c343/strategic-review-of-qhrc-discussion-paper.pdf?ETag=1cf9ff7f78b19c0402dcef525ba2bfc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qai.org.au/wp-content/uploads/2024/07/Economic-cost-of-suspensions-for-students-with-disability-findings-summary.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righttolearn.com.a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qidan.org.au/submissions/qidan-submission-anti-discrimination-bill-2024/"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publications.qld.gov.au/dataset/djag-impact-analysis-statements-2024/resource/161508ca-ed18-4a2f-80d7-cb31b80aa6fc" TargetMode="External"/><Relationship Id="rId3" Type="http://schemas.openxmlformats.org/officeDocument/2006/relationships/hyperlink" Target="https://www.qhrc.qld.gov.au/about-us/annual-reports" TargetMode="External"/><Relationship Id="rId7" Type="http://schemas.openxmlformats.org/officeDocument/2006/relationships/hyperlink" Target="https://disability.royalcommission.gov.au/system/files/2023-11/Final%20report%20-%20Volume%204%2C%20Realising%20the%20human%20rights%20of%20people%20with%20disability.pdf" TargetMode="External"/><Relationship Id="rId12" Type="http://schemas.openxmlformats.org/officeDocument/2006/relationships/hyperlink" Target="https://disability.royalcommission.gov.au/system/files/2023-11/Final%20report%20-%20Volume%204%2C%20Realising%20the%20human%20rights%20of%20people%20with%20disability.pdf" TargetMode="External"/><Relationship Id="rId2" Type="http://schemas.openxmlformats.org/officeDocument/2006/relationships/hyperlink" Target="https://disability.royalcommission.gov.au/publications/final-report" TargetMode="External"/><Relationship Id="rId1" Type="http://schemas.openxmlformats.org/officeDocument/2006/relationships/hyperlink" Target="https://www.qhrc.qld.gov.au/about-us/annual-reports" TargetMode="External"/><Relationship Id="rId6" Type="http://schemas.openxmlformats.org/officeDocument/2006/relationships/hyperlink" Target="https://www.legislation.qld.gov.au/view/pdf/bill.third.exp/bill-2024-024" TargetMode="External"/><Relationship Id="rId11" Type="http://schemas.openxmlformats.org/officeDocument/2006/relationships/hyperlink" Target="https://www.parliament.qld.gov.au/Work-of-the-Assembly/Tabled-Papers/docs/5722t26/5722t26.pdf" TargetMode="External"/><Relationship Id="rId5" Type="http://schemas.openxmlformats.org/officeDocument/2006/relationships/hyperlink" Target="https://www.legislation.qld.gov.au/view/pdf/bill.third.exp/bill-2024-024" TargetMode="External"/><Relationship Id="rId10" Type="http://schemas.openxmlformats.org/officeDocument/2006/relationships/hyperlink" Target="https://disability.royalcommission.gov.au/system/files/2023-09/Final%20Report%20-%20Volume%203%2C%20Nature%20and%20Extent%20of%20Violence%2C%20abuse%2C%20neglect%20and%20exploitation.pdf" TargetMode="External"/><Relationship Id="rId4" Type="http://schemas.openxmlformats.org/officeDocument/2006/relationships/hyperlink" Target="https://www.qhrc.qld.gov.au/about-us/annual-reports" TargetMode="External"/><Relationship Id="rId9" Type="http://schemas.openxmlformats.org/officeDocument/2006/relationships/hyperlink" Target="https://disability.royalcommission.gov.au/system/files/2023-11/Final%20report%20-%20Volume%204%2C%20Realising%20the%20human%20rights%20of%20people%20with%20disability.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itlinDeCocqVanDelw\AppData\Local\Microsoft\Windows\INetCache\Content.Outlook\UATP3LJU\QIDAN%20Report%20V2%20(0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2" ma:contentTypeDescription="Create a new document." ma:contentTypeScope="" ma:versionID="4d4588f06dcdedeed0441f851931f4d1">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e6ac9d1f69f0a16497584f526a7a113"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lcf76f155ced4ddcb4097134ff3c332f xmlns="662b4d72-0963-4903-8d1e-908999ea922a">
      <Terms xmlns="http://schemas.microsoft.com/office/infopath/2007/PartnerControls"/>
    </lcf76f155ced4ddcb4097134ff3c332f>
    <Commnet xmlns="662b4d72-0963-4903-8d1e-908999ea922a" xsi:nil="true"/>
    <_dlc_DocId xmlns="422eb771-ca73-43f7-ae9a-92fcdf6b2d87">1234-1248423447-206413</_dlc_DocId>
    <_dlc_DocIdUrl xmlns="422eb771-ca73-43f7-ae9a-92fcdf6b2d87">
      <Url>https://queenslandadvocacy.sharepoint.com/sites/QueenslandAdvocacy/_layouts/15/DocIdRedir.aspx?ID=1234-1248423447-206413</Url>
      <Description>1234-1248423447-206413</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E96812-245C-476B-A150-1C160F0F12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F32434-E62A-487D-ABC6-E40AA9BB4E7B}">
  <ds:schemaRefs>
    <ds:schemaRef ds:uri="http://schemas.microsoft.com/sharepoint/v3/contenttype/forms"/>
  </ds:schemaRefs>
</ds:datastoreItem>
</file>

<file path=customXml/itemProps3.xml><?xml version="1.0" encoding="utf-8"?>
<ds:datastoreItem xmlns:ds="http://schemas.openxmlformats.org/officeDocument/2006/customXml" ds:itemID="{3EFFB9D6-3979-44CA-B527-DD635F24C3E2}">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customXml/itemProps4.xml><?xml version="1.0" encoding="utf-8"?>
<ds:datastoreItem xmlns:ds="http://schemas.openxmlformats.org/officeDocument/2006/customXml" ds:itemID="{5CCD69DE-CB22-4B41-8487-038D25D68980}">
  <ds:schemaRefs>
    <ds:schemaRef ds:uri="http://schemas.openxmlformats.org/officeDocument/2006/bibliography"/>
  </ds:schemaRefs>
</ds:datastoreItem>
</file>

<file path=customXml/itemProps5.xml><?xml version="1.0" encoding="utf-8"?>
<ds:datastoreItem xmlns:ds="http://schemas.openxmlformats.org/officeDocument/2006/customXml" ds:itemID="{47B195FB-4C12-4308-BF75-C0E24C2392D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QIDAN Report V2 (003)</Template>
  <TotalTime>4</TotalTime>
  <Pages>18</Pages>
  <Words>5174</Words>
  <Characters>28773</Characters>
  <Application>Microsoft Office Word</Application>
  <DocSecurity>0</DocSecurity>
  <Lines>479</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33802</CharactersWithSpaces>
  <SharedDoc>false</SharedDoc>
  <HLinks>
    <vt:vector size="168" baseType="variant">
      <vt:variant>
        <vt:i4>327747</vt:i4>
      </vt:variant>
      <vt:variant>
        <vt:i4>75</vt:i4>
      </vt:variant>
      <vt:variant>
        <vt:i4>0</vt:i4>
      </vt:variant>
      <vt:variant>
        <vt:i4>5</vt:i4>
      </vt:variant>
      <vt:variant>
        <vt:lpwstr>https://qai.org.au/wp-content/uploads/2024/07/Economic-cost-of-suspensions-for-students-with-disability-findings-summary.pdf</vt:lpwstr>
      </vt:variant>
      <vt:variant>
        <vt:lpwstr/>
      </vt:variant>
      <vt:variant>
        <vt:i4>4915288</vt:i4>
      </vt:variant>
      <vt:variant>
        <vt:i4>72</vt:i4>
      </vt:variant>
      <vt:variant>
        <vt:i4>0</vt:i4>
      </vt:variant>
      <vt:variant>
        <vt:i4>5</vt:i4>
      </vt:variant>
      <vt:variant>
        <vt:lpwstr>https://www.arighttolearn.com.au/</vt:lpwstr>
      </vt:variant>
      <vt:variant>
        <vt:lpwstr/>
      </vt:variant>
      <vt:variant>
        <vt:i4>4587524</vt:i4>
      </vt:variant>
      <vt:variant>
        <vt:i4>69</vt:i4>
      </vt:variant>
      <vt:variant>
        <vt:i4>0</vt:i4>
      </vt:variant>
      <vt:variant>
        <vt:i4>5</vt:i4>
      </vt:variant>
      <vt:variant>
        <vt:lpwstr>https://qidan.org.au/submissions/qidan-submission-anti-discrimination-bill-2024/</vt:lpwstr>
      </vt:variant>
      <vt:variant>
        <vt:lpwstr/>
      </vt:variant>
      <vt:variant>
        <vt:i4>2228334</vt:i4>
      </vt:variant>
      <vt:variant>
        <vt:i4>66</vt:i4>
      </vt:variant>
      <vt:variant>
        <vt:i4>0</vt:i4>
      </vt:variant>
      <vt:variant>
        <vt:i4>5</vt:i4>
      </vt:variant>
      <vt:variant>
        <vt:lpwstr>https://qidan.org.au/submissions/qidan-submission-to-the-disability-discrimination-act-1992-review/</vt:lpwstr>
      </vt:variant>
      <vt:variant>
        <vt:lpwstr/>
      </vt:variant>
      <vt:variant>
        <vt:i4>917594</vt:i4>
      </vt:variant>
      <vt:variant>
        <vt:i4>63</vt:i4>
      </vt:variant>
      <vt:variant>
        <vt:i4>0</vt:i4>
      </vt:variant>
      <vt:variant>
        <vt:i4>5</vt:i4>
      </vt:variant>
      <vt:variant>
        <vt:lpwstr>https://www.publications.qld.gov.au/ckan-publications-attachments-prod/resources/d2a29d6f-f2d1-4de7-b360-864a8e32c343/strategic-review-of-qhrc-discussion-paper.pdf?ETag=1cf9ff7f78b19c0402dcef525ba2bfcb</vt:lpwstr>
      </vt:variant>
      <vt:variant>
        <vt:lpwstr/>
      </vt:variant>
      <vt:variant>
        <vt:i4>1179708</vt:i4>
      </vt:variant>
      <vt:variant>
        <vt:i4>56</vt:i4>
      </vt:variant>
      <vt:variant>
        <vt:i4>0</vt:i4>
      </vt:variant>
      <vt:variant>
        <vt:i4>5</vt:i4>
      </vt:variant>
      <vt:variant>
        <vt:lpwstr/>
      </vt:variant>
      <vt:variant>
        <vt:lpwstr>_Toc244185254</vt:lpwstr>
      </vt:variant>
      <vt:variant>
        <vt:i4>1179708</vt:i4>
      </vt:variant>
      <vt:variant>
        <vt:i4>50</vt:i4>
      </vt:variant>
      <vt:variant>
        <vt:i4>0</vt:i4>
      </vt:variant>
      <vt:variant>
        <vt:i4>5</vt:i4>
      </vt:variant>
      <vt:variant>
        <vt:lpwstr/>
      </vt:variant>
      <vt:variant>
        <vt:lpwstr>_Toc244185253</vt:lpwstr>
      </vt:variant>
      <vt:variant>
        <vt:i4>1179708</vt:i4>
      </vt:variant>
      <vt:variant>
        <vt:i4>44</vt:i4>
      </vt:variant>
      <vt:variant>
        <vt:i4>0</vt:i4>
      </vt:variant>
      <vt:variant>
        <vt:i4>5</vt:i4>
      </vt:variant>
      <vt:variant>
        <vt:lpwstr/>
      </vt:variant>
      <vt:variant>
        <vt:lpwstr>_Toc244185252</vt:lpwstr>
      </vt:variant>
      <vt:variant>
        <vt:i4>1179708</vt:i4>
      </vt:variant>
      <vt:variant>
        <vt:i4>38</vt:i4>
      </vt:variant>
      <vt:variant>
        <vt:i4>0</vt:i4>
      </vt:variant>
      <vt:variant>
        <vt:i4>5</vt:i4>
      </vt:variant>
      <vt:variant>
        <vt:lpwstr/>
      </vt:variant>
      <vt:variant>
        <vt:lpwstr>_Toc244185251</vt:lpwstr>
      </vt:variant>
      <vt:variant>
        <vt:i4>1179708</vt:i4>
      </vt:variant>
      <vt:variant>
        <vt:i4>32</vt:i4>
      </vt:variant>
      <vt:variant>
        <vt:i4>0</vt:i4>
      </vt:variant>
      <vt:variant>
        <vt:i4>5</vt:i4>
      </vt:variant>
      <vt:variant>
        <vt:lpwstr/>
      </vt:variant>
      <vt:variant>
        <vt:lpwstr>_Toc244185250</vt:lpwstr>
      </vt:variant>
      <vt:variant>
        <vt:i4>1245244</vt:i4>
      </vt:variant>
      <vt:variant>
        <vt:i4>26</vt:i4>
      </vt:variant>
      <vt:variant>
        <vt:i4>0</vt:i4>
      </vt:variant>
      <vt:variant>
        <vt:i4>5</vt:i4>
      </vt:variant>
      <vt:variant>
        <vt:lpwstr/>
      </vt:variant>
      <vt:variant>
        <vt:lpwstr>_Toc244185249</vt:lpwstr>
      </vt:variant>
      <vt:variant>
        <vt:i4>1245244</vt:i4>
      </vt:variant>
      <vt:variant>
        <vt:i4>20</vt:i4>
      </vt:variant>
      <vt:variant>
        <vt:i4>0</vt:i4>
      </vt:variant>
      <vt:variant>
        <vt:i4>5</vt:i4>
      </vt:variant>
      <vt:variant>
        <vt:lpwstr/>
      </vt:variant>
      <vt:variant>
        <vt:lpwstr>_Toc244185248</vt:lpwstr>
      </vt:variant>
      <vt:variant>
        <vt:i4>1245244</vt:i4>
      </vt:variant>
      <vt:variant>
        <vt:i4>14</vt:i4>
      </vt:variant>
      <vt:variant>
        <vt:i4>0</vt:i4>
      </vt:variant>
      <vt:variant>
        <vt:i4>5</vt:i4>
      </vt:variant>
      <vt:variant>
        <vt:lpwstr/>
      </vt:variant>
      <vt:variant>
        <vt:lpwstr>_Toc244185247</vt:lpwstr>
      </vt:variant>
      <vt:variant>
        <vt:i4>1245244</vt:i4>
      </vt:variant>
      <vt:variant>
        <vt:i4>8</vt:i4>
      </vt:variant>
      <vt:variant>
        <vt:i4>0</vt:i4>
      </vt:variant>
      <vt:variant>
        <vt:i4>5</vt:i4>
      </vt:variant>
      <vt:variant>
        <vt:lpwstr/>
      </vt:variant>
      <vt:variant>
        <vt:lpwstr>_Toc244185246</vt:lpwstr>
      </vt:variant>
      <vt:variant>
        <vt:i4>1245244</vt:i4>
      </vt:variant>
      <vt:variant>
        <vt:i4>2</vt:i4>
      </vt:variant>
      <vt:variant>
        <vt:i4>0</vt:i4>
      </vt:variant>
      <vt:variant>
        <vt:i4>5</vt:i4>
      </vt:variant>
      <vt:variant>
        <vt:lpwstr/>
      </vt:variant>
      <vt:variant>
        <vt:lpwstr>_Toc244185245</vt:lpwstr>
      </vt:variant>
      <vt:variant>
        <vt:i4>2555950</vt:i4>
      </vt:variant>
      <vt:variant>
        <vt:i4>33</vt:i4>
      </vt:variant>
      <vt:variant>
        <vt:i4>0</vt:i4>
      </vt:variant>
      <vt:variant>
        <vt:i4>5</vt:i4>
      </vt:variant>
      <vt:variant>
        <vt:lpwstr>https://disability.royalcommission.gov.au/system/files/2023-11/Final report - Volume 4%2C Realising the human rights of people with disability.pdf</vt:lpwstr>
      </vt:variant>
      <vt:variant>
        <vt:lpwstr/>
      </vt:variant>
      <vt:variant>
        <vt:i4>1376331</vt:i4>
      </vt:variant>
      <vt:variant>
        <vt:i4>30</vt:i4>
      </vt:variant>
      <vt:variant>
        <vt:i4>0</vt:i4>
      </vt:variant>
      <vt:variant>
        <vt:i4>5</vt:i4>
      </vt:variant>
      <vt:variant>
        <vt:lpwstr>https://www.parliament.qld.gov.au/Work-of-the-Assembly/Tabled-Papers/docs/5722t26/5722t26.pdf</vt:lpwstr>
      </vt:variant>
      <vt:variant>
        <vt:lpwstr/>
      </vt:variant>
      <vt:variant>
        <vt:i4>1507418</vt:i4>
      </vt:variant>
      <vt:variant>
        <vt:i4>27</vt:i4>
      </vt:variant>
      <vt:variant>
        <vt:i4>0</vt:i4>
      </vt:variant>
      <vt:variant>
        <vt:i4>5</vt:i4>
      </vt:variant>
      <vt:variant>
        <vt:lpwstr>https://disability.royalcommission.gov.au/system/files/2023-09/Final Report - Volume 3%2C Nature and Extent of Violence%2C abuse%2C neglect and exploitation.pdf</vt:lpwstr>
      </vt:variant>
      <vt:variant>
        <vt:lpwstr/>
      </vt:variant>
      <vt:variant>
        <vt:i4>2555950</vt:i4>
      </vt:variant>
      <vt:variant>
        <vt:i4>24</vt:i4>
      </vt:variant>
      <vt:variant>
        <vt:i4>0</vt:i4>
      </vt:variant>
      <vt:variant>
        <vt:i4>5</vt:i4>
      </vt:variant>
      <vt:variant>
        <vt:lpwstr>https://disability.royalcommission.gov.au/system/files/2023-11/Final report - Volume 4%2C Realising the human rights of people with disability.pdf</vt:lpwstr>
      </vt:variant>
      <vt:variant>
        <vt:lpwstr/>
      </vt:variant>
      <vt:variant>
        <vt:i4>8323126</vt:i4>
      </vt:variant>
      <vt:variant>
        <vt:i4>21</vt:i4>
      </vt:variant>
      <vt:variant>
        <vt:i4>0</vt:i4>
      </vt:variant>
      <vt:variant>
        <vt:i4>5</vt:i4>
      </vt:variant>
      <vt:variant>
        <vt:lpwstr>https://www.publications.qld.gov.au/dataset/djag-impact-analysis-statements-2024/resource/161508ca-ed18-4a2f-80d7-cb31b80aa6fc</vt:lpwstr>
      </vt:variant>
      <vt:variant>
        <vt:lpwstr/>
      </vt:variant>
      <vt:variant>
        <vt:i4>2555950</vt:i4>
      </vt:variant>
      <vt:variant>
        <vt:i4>18</vt:i4>
      </vt:variant>
      <vt:variant>
        <vt:i4>0</vt:i4>
      </vt:variant>
      <vt:variant>
        <vt:i4>5</vt:i4>
      </vt:variant>
      <vt:variant>
        <vt:lpwstr>https://disability.royalcommission.gov.au/system/files/2023-11/Final report - Volume 4%2C Realising the human rights of people with disability.pdf</vt:lpwstr>
      </vt:variant>
      <vt:variant>
        <vt:lpwstr/>
      </vt:variant>
      <vt:variant>
        <vt:i4>5636165</vt:i4>
      </vt:variant>
      <vt:variant>
        <vt:i4>15</vt:i4>
      </vt:variant>
      <vt:variant>
        <vt:i4>0</vt:i4>
      </vt:variant>
      <vt:variant>
        <vt:i4>5</vt:i4>
      </vt:variant>
      <vt:variant>
        <vt:lpwstr>https://www.legislation.qld.gov.au/view/pdf/bill.third.exp/bill-2024-024</vt:lpwstr>
      </vt:variant>
      <vt:variant>
        <vt:lpwstr/>
      </vt:variant>
      <vt:variant>
        <vt:i4>5636165</vt:i4>
      </vt:variant>
      <vt:variant>
        <vt:i4>12</vt:i4>
      </vt:variant>
      <vt:variant>
        <vt:i4>0</vt:i4>
      </vt:variant>
      <vt:variant>
        <vt:i4>5</vt:i4>
      </vt:variant>
      <vt:variant>
        <vt:lpwstr>https://www.legislation.qld.gov.au/view/pdf/bill.third.exp/bill-2024-024</vt:lpwstr>
      </vt:variant>
      <vt:variant>
        <vt:lpwstr/>
      </vt:variant>
      <vt:variant>
        <vt:i4>8192060</vt:i4>
      </vt:variant>
      <vt:variant>
        <vt:i4>9</vt:i4>
      </vt:variant>
      <vt:variant>
        <vt:i4>0</vt:i4>
      </vt:variant>
      <vt:variant>
        <vt:i4>5</vt:i4>
      </vt:variant>
      <vt:variant>
        <vt:lpwstr>https://www.qhrc.qld.gov.au/about-us/annual-reports</vt:lpwstr>
      </vt:variant>
      <vt:variant>
        <vt:lpwstr/>
      </vt:variant>
      <vt:variant>
        <vt:i4>8192060</vt:i4>
      </vt:variant>
      <vt:variant>
        <vt:i4>6</vt:i4>
      </vt:variant>
      <vt:variant>
        <vt:i4>0</vt:i4>
      </vt:variant>
      <vt:variant>
        <vt:i4>5</vt:i4>
      </vt:variant>
      <vt:variant>
        <vt:lpwstr>https://www.qhrc.qld.gov.au/about-us/annual-reports</vt:lpwstr>
      </vt:variant>
      <vt:variant>
        <vt:lpwstr/>
      </vt:variant>
      <vt:variant>
        <vt:i4>2621553</vt:i4>
      </vt:variant>
      <vt:variant>
        <vt:i4>3</vt:i4>
      </vt:variant>
      <vt:variant>
        <vt:i4>0</vt:i4>
      </vt:variant>
      <vt:variant>
        <vt:i4>5</vt:i4>
      </vt:variant>
      <vt:variant>
        <vt:lpwstr>https://disability.royalcommission.gov.au/publications/final-report</vt:lpwstr>
      </vt:variant>
      <vt:variant>
        <vt:lpwstr/>
      </vt:variant>
      <vt:variant>
        <vt:i4>8192060</vt:i4>
      </vt:variant>
      <vt:variant>
        <vt:i4>0</vt:i4>
      </vt:variant>
      <vt:variant>
        <vt:i4>0</vt:i4>
      </vt:variant>
      <vt:variant>
        <vt:i4>5</vt:i4>
      </vt:variant>
      <vt:variant>
        <vt:lpwstr>https://www.qhrc.qld.gov.au/about-us/annual-reports</vt:lpwstr>
      </vt:variant>
      <vt:variant>
        <vt:lpwstr/>
      </vt:variant>
      <vt:variant>
        <vt:i4>5963839</vt:i4>
      </vt:variant>
      <vt:variant>
        <vt:i4>0</vt:i4>
      </vt:variant>
      <vt:variant>
        <vt:i4>0</vt:i4>
      </vt:variant>
      <vt:variant>
        <vt:i4>5</vt:i4>
      </vt:variant>
      <vt:variant>
        <vt:lpwstr>mailto:kate@qai.org.au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 Cocq Van Delwijnen</dc:creator>
  <cp:keywords/>
  <dc:description/>
  <cp:lastModifiedBy>Sara Martins</cp:lastModifiedBy>
  <cp:revision>3</cp:revision>
  <dcterms:created xsi:type="dcterms:W3CDTF">2026-10-30T02:46:00Z</dcterms:created>
  <dcterms:modified xsi:type="dcterms:W3CDTF">2026-10-30T02:48:00Z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y fmtid="{D5CDD505-2E9C-101B-9397-08002B2CF9AE}" pid="4" name="_dlc_DocIdItemGuid">
    <vt:lpwstr>04d705d0-3afe-4f2d-a003-287c75eb9f07</vt:lpwstr>
  </property>
</Properties>
</file>